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27" w:rsidRPr="000250C2" w:rsidRDefault="00644627" w:rsidP="000250C2">
      <w:pPr>
        <w:rPr>
          <w:sz w:val="40"/>
          <w:szCs w:val="40"/>
        </w:rPr>
      </w:pPr>
    </w:p>
    <w:p w:rsidR="00644627" w:rsidRPr="000250C2" w:rsidRDefault="00D56430" w:rsidP="000250C2">
      <w:pPr>
        <w:jc w:val="center"/>
        <w:rPr>
          <w:sz w:val="40"/>
          <w:szCs w:val="40"/>
        </w:rPr>
      </w:pPr>
      <w:r w:rsidRPr="000250C2">
        <w:rPr>
          <w:b/>
          <w:noProof/>
          <w:sz w:val="40"/>
          <w:szCs w:val="40"/>
          <w:highlight w:val="yellow"/>
          <w:lang w:eastAsia="en-NZ"/>
        </w:rPr>
        <w:drawing>
          <wp:inline distT="0" distB="0" distL="0" distR="0" wp14:anchorId="6B308097" wp14:editId="3EC22089">
            <wp:extent cx="1820545" cy="85852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545" cy="858520"/>
                    </a:xfrm>
                    <a:prstGeom prst="rect">
                      <a:avLst/>
                    </a:prstGeom>
                    <a:noFill/>
                    <a:ln>
                      <a:noFill/>
                    </a:ln>
                  </pic:spPr>
                </pic:pic>
              </a:graphicData>
            </a:graphic>
          </wp:inline>
        </w:drawing>
      </w:r>
    </w:p>
    <w:p w:rsidR="00644627" w:rsidRPr="000250C2" w:rsidRDefault="00644627" w:rsidP="000250C2">
      <w:pPr>
        <w:rPr>
          <w:sz w:val="40"/>
          <w:szCs w:val="40"/>
        </w:rPr>
      </w:pPr>
    </w:p>
    <w:p w:rsidR="00644627" w:rsidRPr="000250C2" w:rsidRDefault="00644627" w:rsidP="000250C2">
      <w:pPr>
        <w:rPr>
          <w:sz w:val="40"/>
          <w:szCs w:val="40"/>
        </w:rPr>
      </w:pPr>
    </w:p>
    <w:p w:rsidR="00644627" w:rsidRPr="000250C2" w:rsidRDefault="003923E5" w:rsidP="000250C2">
      <w:pPr>
        <w:jc w:val="center"/>
        <w:rPr>
          <w:b/>
          <w:sz w:val="40"/>
          <w:szCs w:val="40"/>
        </w:rPr>
      </w:pPr>
      <w:r w:rsidRPr="000250C2">
        <w:rPr>
          <w:sz w:val="40"/>
          <w:szCs w:val="40"/>
        </w:rPr>
        <w:t>C</w:t>
      </w:r>
      <w:r w:rsidR="00644627" w:rsidRPr="000250C2">
        <w:rPr>
          <w:sz w:val="40"/>
          <w:szCs w:val="40"/>
        </w:rPr>
        <w:t>ross-</w:t>
      </w:r>
      <w:proofErr w:type="spellStart"/>
      <w:r w:rsidR="00644627" w:rsidRPr="000250C2">
        <w:rPr>
          <w:sz w:val="40"/>
          <w:szCs w:val="40"/>
        </w:rPr>
        <w:t>sectoral</w:t>
      </w:r>
      <w:proofErr w:type="spellEnd"/>
      <w:r w:rsidR="00644627" w:rsidRPr="000250C2">
        <w:rPr>
          <w:sz w:val="40"/>
          <w:szCs w:val="40"/>
        </w:rPr>
        <w:t xml:space="preserve"> ethics arrangements for health and disability research</w:t>
      </w:r>
    </w:p>
    <w:p w:rsidR="00644627" w:rsidRPr="000250C2" w:rsidRDefault="00644627" w:rsidP="000250C2">
      <w:pPr>
        <w:jc w:val="center"/>
        <w:rPr>
          <w:b/>
          <w:sz w:val="40"/>
          <w:szCs w:val="40"/>
        </w:rPr>
      </w:pPr>
    </w:p>
    <w:p w:rsidR="00644627" w:rsidRPr="000250C2" w:rsidRDefault="00D012EF" w:rsidP="000250C2">
      <w:pPr>
        <w:jc w:val="center"/>
        <w:rPr>
          <w:b/>
          <w:sz w:val="40"/>
          <w:szCs w:val="40"/>
        </w:rPr>
      </w:pPr>
      <w:r w:rsidRPr="000250C2">
        <w:rPr>
          <w:sz w:val="40"/>
          <w:szCs w:val="40"/>
        </w:rPr>
        <w:t>Discussion document</w:t>
      </w:r>
    </w:p>
    <w:p w:rsidR="00644627" w:rsidRPr="000250C2" w:rsidRDefault="00644627" w:rsidP="000250C2">
      <w:pPr>
        <w:jc w:val="center"/>
        <w:rPr>
          <w:b/>
          <w:sz w:val="40"/>
          <w:szCs w:val="40"/>
        </w:rPr>
      </w:pPr>
    </w:p>
    <w:p w:rsidR="00CB522C" w:rsidRPr="000250C2" w:rsidRDefault="00CB522C" w:rsidP="000250C2">
      <w:pPr>
        <w:jc w:val="center"/>
        <w:rPr>
          <w:b/>
          <w:sz w:val="40"/>
          <w:szCs w:val="40"/>
        </w:rPr>
      </w:pPr>
    </w:p>
    <w:p w:rsidR="00CB522C" w:rsidRPr="000250C2" w:rsidRDefault="00CB522C" w:rsidP="000250C2">
      <w:pPr>
        <w:jc w:val="center"/>
        <w:rPr>
          <w:b/>
          <w:sz w:val="40"/>
          <w:szCs w:val="40"/>
        </w:rPr>
      </w:pPr>
    </w:p>
    <w:p w:rsidR="00644627" w:rsidRPr="000250C2" w:rsidRDefault="00644627" w:rsidP="000250C2">
      <w:pPr>
        <w:jc w:val="center"/>
        <w:rPr>
          <w:b/>
          <w:sz w:val="40"/>
          <w:szCs w:val="40"/>
        </w:rPr>
      </w:pPr>
      <w:r w:rsidRPr="000250C2">
        <w:rPr>
          <w:sz w:val="40"/>
          <w:szCs w:val="40"/>
        </w:rPr>
        <w:t>National Ethics Advisory Committee</w:t>
      </w:r>
    </w:p>
    <w:p w:rsidR="00644627" w:rsidRPr="000250C2" w:rsidRDefault="00644627" w:rsidP="000250C2">
      <w:pPr>
        <w:jc w:val="center"/>
        <w:rPr>
          <w:b/>
          <w:sz w:val="40"/>
          <w:szCs w:val="40"/>
        </w:rPr>
      </w:pPr>
      <w:proofErr w:type="spellStart"/>
      <w:r w:rsidRPr="000250C2">
        <w:rPr>
          <w:sz w:val="40"/>
          <w:szCs w:val="40"/>
        </w:rPr>
        <w:t>K</w:t>
      </w:r>
      <w:r w:rsidR="00F907D8" w:rsidRPr="000250C2">
        <w:rPr>
          <w:sz w:val="40"/>
          <w:szCs w:val="40"/>
        </w:rPr>
        <w:t>ā</w:t>
      </w:r>
      <w:r w:rsidRPr="000250C2">
        <w:rPr>
          <w:sz w:val="40"/>
          <w:szCs w:val="40"/>
        </w:rPr>
        <w:t>hui</w:t>
      </w:r>
      <w:proofErr w:type="spellEnd"/>
      <w:r w:rsidRPr="000250C2">
        <w:rPr>
          <w:sz w:val="40"/>
          <w:szCs w:val="40"/>
        </w:rPr>
        <w:t xml:space="preserve"> </w:t>
      </w:r>
      <w:proofErr w:type="spellStart"/>
      <w:r w:rsidRPr="000250C2">
        <w:rPr>
          <w:sz w:val="40"/>
          <w:szCs w:val="40"/>
        </w:rPr>
        <w:t>Matatika</w:t>
      </w:r>
      <w:proofErr w:type="spellEnd"/>
      <w:r w:rsidRPr="000250C2">
        <w:rPr>
          <w:sz w:val="40"/>
          <w:szCs w:val="40"/>
        </w:rPr>
        <w:t xml:space="preserve"> o </w:t>
      </w:r>
      <w:proofErr w:type="spellStart"/>
      <w:proofErr w:type="gramStart"/>
      <w:r w:rsidRPr="000250C2">
        <w:rPr>
          <w:sz w:val="40"/>
          <w:szCs w:val="40"/>
        </w:rPr>
        <w:t>te</w:t>
      </w:r>
      <w:proofErr w:type="spellEnd"/>
      <w:proofErr w:type="gramEnd"/>
      <w:r w:rsidRPr="000250C2">
        <w:rPr>
          <w:sz w:val="40"/>
          <w:szCs w:val="40"/>
        </w:rPr>
        <w:t xml:space="preserve"> Motu</w:t>
      </w:r>
    </w:p>
    <w:p w:rsidR="00644627" w:rsidRDefault="00644627" w:rsidP="0092194C">
      <w:pPr>
        <w:pStyle w:val="BodyText"/>
        <w:spacing w:before="240" w:after="0"/>
        <w:rPr>
          <w:rFonts w:ascii="Arial" w:hAnsi="Arial" w:cs="Arial"/>
        </w:rPr>
      </w:pPr>
    </w:p>
    <w:p w:rsidR="00644627" w:rsidRDefault="00644627" w:rsidP="0092194C">
      <w:pPr>
        <w:pStyle w:val="BodyText"/>
        <w:spacing w:before="240" w:after="0"/>
        <w:rPr>
          <w:rFonts w:ascii="Arial" w:hAnsi="Arial" w:cs="Arial"/>
        </w:rPr>
      </w:pPr>
    </w:p>
    <w:p w:rsidR="00644627" w:rsidRDefault="00644627" w:rsidP="0092194C">
      <w:pPr>
        <w:pStyle w:val="BodyText"/>
        <w:spacing w:before="240" w:after="0"/>
        <w:rPr>
          <w:rFonts w:ascii="Arial" w:hAnsi="Arial" w:cs="Arial"/>
        </w:rPr>
      </w:pPr>
    </w:p>
    <w:p w:rsidR="00644627" w:rsidRDefault="00644627" w:rsidP="0092194C">
      <w:pPr>
        <w:pStyle w:val="BodyText"/>
        <w:spacing w:before="240" w:after="0"/>
        <w:rPr>
          <w:rFonts w:ascii="Arial" w:hAnsi="Arial" w:cs="Arial"/>
        </w:rPr>
      </w:pPr>
    </w:p>
    <w:p w:rsidR="00644627" w:rsidRDefault="00644627" w:rsidP="0092194C">
      <w:pPr>
        <w:pStyle w:val="BodyText"/>
        <w:spacing w:before="240" w:after="0"/>
        <w:rPr>
          <w:rFonts w:ascii="Arial" w:hAnsi="Arial" w:cs="Arial"/>
        </w:rPr>
      </w:pPr>
    </w:p>
    <w:p w:rsidR="00644627" w:rsidRDefault="00644627" w:rsidP="0092194C">
      <w:pPr>
        <w:pStyle w:val="BodyText"/>
        <w:spacing w:before="240" w:after="0"/>
        <w:rPr>
          <w:rFonts w:ascii="Arial" w:hAnsi="Arial" w:cs="Arial"/>
        </w:rPr>
      </w:pPr>
    </w:p>
    <w:p w:rsidR="008F3CAE" w:rsidRDefault="008F3CAE" w:rsidP="0092194C">
      <w:pPr>
        <w:pStyle w:val="BodyText"/>
        <w:spacing w:before="240" w:after="0"/>
        <w:rPr>
          <w:rFonts w:ascii="Arial" w:hAnsi="Arial" w:cs="Arial"/>
        </w:rPr>
        <w:sectPr w:rsidR="008F3CAE">
          <w:footerReference w:type="default" r:id="rId10"/>
          <w:footerReference w:type="first" r:id="rId11"/>
          <w:pgSz w:w="11906" w:h="16838"/>
          <w:pgMar w:top="1440" w:right="1440" w:bottom="1440" w:left="1440" w:header="708" w:footer="708" w:gutter="0"/>
          <w:cols w:space="708"/>
          <w:docGrid w:linePitch="360"/>
        </w:sectPr>
      </w:pPr>
    </w:p>
    <w:p w:rsidR="000250C2" w:rsidRPr="009D4230" w:rsidRDefault="000250C2" w:rsidP="009D4230">
      <w:pPr>
        <w:rPr>
          <w:rStyle w:val="Strong"/>
          <w:rFonts w:asciiTheme="majorHAnsi" w:hAnsiTheme="majorHAnsi"/>
          <w:b w:val="0"/>
          <w:color w:val="365F91" w:themeColor="accent1" w:themeShade="BF"/>
          <w:sz w:val="28"/>
          <w:szCs w:val="28"/>
        </w:rPr>
      </w:pPr>
      <w:bookmarkStart w:id="0" w:name="_Toc184378466"/>
      <w:bookmarkStart w:id="1" w:name="_Toc203889442"/>
      <w:r w:rsidRPr="009D4230">
        <w:rPr>
          <w:rStyle w:val="Strong"/>
          <w:rFonts w:asciiTheme="majorHAnsi" w:hAnsiTheme="majorHAnsi"/>
          <w:color w:val="365F91" w:themeColor="accent1" w:themeShade="BF"/>
          <w:sz w:val="28"/>
          <w:szCs w:val="28"/>
        </w:rPr>
        <w:t>Contents</w:t>
      </w:r>
    </w:p>
    <w:p w:rsidR="009D4230" w:rsidRDefault="000250C2" w:rsidP="009D4230">
      <w:pPr>
        <w:pStyle w:val="TOC1"/>
        <w:tabs>
          <w:tab w:val="clear" w:pos="8959"/>
          <w:tab w:val="right" w:pos="9015"/>
        </w:tabs>
        <w:rPr>
          <w:rFonts w:asciiTheme="minorHAnsi" w:eastAsiaTheme="minorEastAsia" w:hAnsiTheme="minorHAnsi"/>
          <w:noProof/>
          <w:sz w:val="22"/>
          <w:lang w:eastAsia="en-NZ"/>
        </w:rPr>
      </w:pPr>
      <w:r>
        <w:rPr>
          <w:rStyle w:val="Strong"/>
          <w:b/>
        </w:rPr>
        <w:fldChar w:fldCharType="begin"/>
      </w:r>
      <w:r>
        <w:rPr>
          <w:rStyle w:val="Strong"/>
          <w:b/>
        </w:rPr>
        <w:instrText xml:space="preserve"> TOC \o "1-2" \h \z \u </w:instrText>
      </w:r>
      <w:r>
        <w:rPr>
          <w:rStyle w:val="Strong"/>
          <w:b/>
        </w:rPr>
        <w:fldChar w:fldCharType="separate"/>
      </w:r>
      <w:hyperlink w:anchor="_Toc401587720" w:history="1">
        <w:r w:rsidR="009D4230" w:rsidRPr="006F7B3A">
          <w:rPr>
            <w:rStyle w:val="Hyperlink"/>
            <w:noProof/>
          </w:rPr>
          <w:t>Introduction and purpose</w:t>
        </w:r>
        <w:r w:rsidR="009D4230">
          <w:rPr>
            <w:noProof/>
            <w:webHidden/>
          </w:rPr>
          <w:tab/>
        </w:r>
        <w:r w:rsidR="009D4230">
          <w:rPr>
            <w:noProof/>
            <w:webHidden/>
          </w:rPr>
          <w:fldChar w:fldCharType="begin"/>
        </w:r>
        <w:r w:rsidR="009D4230">
          <w:rPr>
            <w:noProof/>
            <w:webHidden/>
          </w:rPr>
          <w:instrText xml:space="preserve"> PAGEREF _Toc401587720 \h </w:instrText>
        </w:r>
        <w:r w:rsidR="009D4230">
          <w:rPr>
            <w:noProof/>
            <w:webHidden/>
          </w:rPr>
        </w:r>
        <w:r w:rsidR="009D4230">
          <w:rPr>
            <w:noProof/>
            <w:webHidden/>
          </w:rPr>
          <w:fldChar w:fldCharType="separate"/>
        </w:r>
        <w:r w:rsidR="00B336AF">
          <w:rPr>
            <w:noProof/>
            <w:webHidden/>
          </w:rPr>
          <w:t>3</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21" w:history="1">
        <w:r w:rsidR="009D4230" w:rsidRPr="006F7B3A">
          <w:rPr>
            <w:rStyle w:val="Hyperlink"/>
            <w:noProof/>
          </w:rPr>
          <w:t>How to have your say</w:t>
        </w:r>
        <w:r w:rsidR="009D4230">
          <w:rPr>
            <w:noProof/>
            <w:webHidden/>
          </w:rPr>
          <w:tab/>
        </w:r>
        <w:r w:rsidR="009D4230">
          <w:rPr>
            <w:noProof/>
            <w:webHidden/>
          </w:rPr>
          <w:fldChar w:fldCharType="begin"/>
        </w:r>
        <w:r w:rsidR="009D4230">
          <w:rPr>
            <w:noProof/>
            <w:webHidden/>
          </w:rPr>
          <w:instrText xml:space="preserve"> PAGEREF _Toc401587721 \h </w:instrText>
        </w:r>
        <w:r w:rsidR="009D4230">
          <w:rPr>
            <w:noProof/>
            <w:webHidden/>
          </w:rPr>
        </w:r>
        <w:r w:rsidR="009D4230">
          <w:rPr>
            <w:noProof/>
            <w:webHidden/>
          </w:rPr>
          <w:fldChar w:fldCharType="separate"/>
        </w:r>
        <w:r w:rsidR="00B336AF">
          <w:rPr>
            <w:noProof/>
            <w:webHidden/>
          </w:rPr>
          <w:t>3</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22" w:history="1">
        <w:r w:rsidR="009D4230" w:rsidRPr="006F7B3A">
          <w:rPr>
            <w:rStyle w:val="Hyperlink"/>
            <w:noProof/>
          </w:rPr>
          <w:t>Definitions</w:t>
        </w:r>
        <w:r w:rsidR="009D4230">
          <w:rPr>
            <w:noProof/>
            <w:webHidden/>
          </w:rPr>
          <w:tab/>
        </w:r>
        <w:r w:rsidR="009D4230">
          <w:rPr>
            <w:noProof/>
            <w:webHidden/>
          </w:rPr>
          <w:fldChar w:fldCharType="begin"/>
        </w:r>
        <w:r w:rsidR="009D4230">
          <w:rPr>
            <w:noProof/>
            <w:webHidden/>
          </w:rPr>
          <w:instrText xml:space="preserve"> PAGEREF _Toc401587722 \h </w:instrText>
        </w:r>
        <w:r w:rsidR="009D4230">
          <w:rPr>
            <w:noProof/>
            <w:webHidden/>
          </w:rPr>
        </w:r>
        <w:r w:rsidR="009D4230">
          <w:rPr>
            <w:noProof/>
            <w:webHidden/>
          </w:rPr>
          <w:fldChar w:fldCharType="separate"/>
        </w:r>
        <w:r w:rsidR="00B336AF">
          <w:rPr>
            <w:noProof/>
            <w:webHidden/>
          </w:rPr>
          <w:t>4</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23" w:history="1">
        <w:r w:rsidR="009D4230" w:rsidRPr="006F7B3A">
          <w:rPr>
            <w:rStyle w:val="Hyperlink"/>
            <w:noProof/>
          </w:rPr>
          <w:t>What is health and disability research?</w:t>
        </w:r>
        <w:r w:rsidR="009D4230">
          <w:rPr>
            <w:noProof/>
            <w:webHidden/>
          </w:rPr>
          <w:tab/>
        </w:r>
        <w:r w:rsidR="009D4230">
          <w:rPr>
            <w:noProof/>
            <w:webHidden/>
          </w:rPr>
          <w:fldChar w:fldCharType="begin"/>
        </w:r>
        <w:r w:rsidR="009D4230">
          <w:rPr>
            <w:noProof/>
            <w:webHidden/>
          </w:rPr>
          <w:instrText xml:space="preserve"> PAGEREF _Toc401587723 \h </w:instrText>
        </w:r>
        <w:r w:rsidR="009D4230">
          <w:rPr>
            <w:noProof/>
            <w:webHidden/>
          </w:rPr>
        </w:r>
        <w:r w:rsidR="009D4230">
          <w:rPr>
            <w:noProof/>
            <w:webHidden/>
          </w:rPr>
          <w:fldChar w:fldCharType="separate"/>
        </w:r>
        <w:r w:rsidR="00B336AF">
          <w:rPr>
            <w:noProof/>
            <w:webHidden/>
          </w:rPr>
          <w:t>4</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24" w:history="1">
        <w:r w:rsidR="009D4230" w:rsidRPr="006F7B3A">
          <w:rPr>
            <w:rStyle w:val="Hyperlink"/>
            <w:noProof/>
          </w:rPr>
          <w:t>What is research ethics?</w:t>
        </w:r>
        <w:r w:rsidR="009D4230">
          <w:rPr>
            <w:noProof/>
            <w:webHidden/>
          </w:rPr>
          <w:tab/>
        </w:r>
        <w:r w:rsidR="009D4230">
          <w:rPr>
            <w:noProof/>
            <w:webHidden/>
          </w:rPr>
          <w:fldChar w:fldCharType="begin"/>
        </w:r>
        <w:r w:rsidR="009D4230">
          <w:rPr>
            <w:noProof/>
            <w:webHidden/>
          </w:rPr>
          <w:instrText xml:space="preserve"> PAGEREF _Toc401587724 \h </w:instrText>
        </w:r>
        <w:r w:rsidR="009D4230">
          <w:rPr>
            <w:noProof/>
            <w:webHidden/>
          </w:rPr>
        </w:r>
        <w:r w:rsidR="009D4230">
          <w:rPr>
            <w:noProof/>
            <w:webHidden/>
          </w:rPr>
          <w:fldChar w:fldCharType="separate"/>
        </w:r>
        <w:r w:rsidR="00B336AF">
          <w:rPr>
            <w:noProof/>
            <w:webHidden/>
          </w:rPr>
          <w:t>4</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25" w:history="1">
        <w:r w:rsidR="009D4230" w:rsidRPr="006F7B3A">
          <w:rPr>
            <w:rStyle w:val="Hyperlink"/>
            <w:noProof/>
          </w:rPr>
          <w:t>What are health and disability research ethics arrangements?</w:t>
        </w:r>
        <w:r w:rsidR="009D4230">
          <w:rPr>
            <w:noProof/>
            <w:webHidden/>
          </w:rPr>
          <w:tab/>
        </w:r>
        <w:r w:rsidR="009D4230">
          <w:rPr>
            <w:noProof/>
            <w:webHidden/>
          </w:rPr>
          <w:fldChar w:fldCharType="begin"/>
        </w:r>
        <w:r w:rsidR="009D4230">
          <w:rPr>
            <w:noProof/>
            <w:webHidden/>
          </w:rPr>
          <w:instrText xml:space="preserve"> PAGEREF _Toc401587725 \h </w:instrText>
        </w:r>
        <w:r w:rsidR="009D4230">
          <w:rPr>
            <w:noProof/>
            <w:webHidden/>
          </w:rPr>
        </w:r>
        <w:r w:rsidR="009D4230">
          <w:rPr>
            <w:noProof/>
            <w:webHidden/>
          </w:rPr>
          <w:fldChar w:fldCharType="separate"/>
        </w:r>
        <w:r w:rsidR="00B336AF">
          <w:rPr>
            <w:noProof/>
            <w:webHidden/>
          </w:rPr>
          <w:t>4</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26" w:history="1">
        <w:r w:rsidR="009D4230" w:rsidRPr="006F7B3A">
          <w:rPr>
            <w:rStyle w:val="Hyperlink"/>
            <w:noProof/>
          </w:rPr>
          <w:t>Responsibility for ethical design, review, conduct and monitoring</w:t>
        </w:r>
        <w:r w:rsidR="009D4230">
          <w:rPr>
            <w:noProof/>
            <w:webHidden/>
          </w:rPr>
          <w:tab/>
        </w:r>
        <w:r w:rsidR="009D4230">
          <w:rPr>
            <w:noProof/>
            <w:webHidden/>
          </w:rPr>
          <w:fldChar w:fldCharType="begin"/>
        </w:r>
        <w:r w:rsidR="009D4230">
          <w:rPr>
            <w:noProof/>
            <w:webHidden/>
          </w:rPr>
          <w:instrText xml:space="preserve"> PAGEREF _Toc401587726 \h </w:instrText>
        </w:r>
        <w:r w:rsidR="009D4230">
          <w:rPr>
            <w:noProof/>
            <w:webHidden/>
          </w:rPr>
        </w:r>
        <w:r w:rsidR="009D4230">
          <w:rPr>
            <w:noProof/>
            <w:webHidden/>
          </w:rPr>
          <w:fldChar w:fldCharType="separate"/>
        </w:r>
        <w:r w:rsidR="00B336AF">
          <w:rPr>
            <w:noProof/>
            <w:webHidden/>
          </w:rPr>
          <w:t>4</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27" w:history="1">
        <w:r w:rsidR="009D4230" w:rsidRPr="006F7B3A">
          <w:rPr>
            <w:rStyle w:val="Hyperlink"/>
            <w:noProof/>
          </w:rPr>
          <w:t>Standards, processes and structures</w:t>
        </w:r>
        <w:r w:rsidR="009D4230">
          <w:rPr>
            <w:noProof/>
            <w:webHidden/>
          </w:rPr>
          <w:tab/>
        </w:r>
        <w:r w:rsidR="009D4230">
          <w:rPr>
            <w:noProof/>
            <w:webHidden/>
          </w:rPr>
          <w:fldChar w:fldCharType="begin"/>
        </w:r>
        <w:r w:rsidR="009D4230">
          <w:rPr>
            <w:noProof/>
            <w:webHidden/>
          </w:rPr>
          <w:instrText xml:space="preserve"> PAGEREF _Toc401587727 \h </w:instrText>
        </w:r>
        <w:r w:rsidR="009D4230">
          <w:rPr>
            <w:noProof/>
            <w:webHidden/>
          </w:rPr>
        </w:r>
        <w:r w:rsidR="009D4230">
          <w:rPr>
            <w:noProof/>
            <w:webHidden/>
          </w:rPr>
          <w:fldChar w:fldCharType="separate"/>
        </w:r>
        <w:r w:rsidR="00B336AF">
          <w:rPr>
            <w:noProof/>
            <w:webHidden/>
          </w:rPr>
          <w:t>5</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28" w:history="1">
        <w:r w:rsidR="009D4230" w:rsidRPr="006F7B3A">
          <w:rPr>
            <w:rStyle w:val="Hyperlink"/>
            <w:noProof/>
          </w:rPr>
          <w:t>New Zealand’s cross-sectoral research ethics arrangements</w:t>
        </w:r>
        <w:r w:rsidR="009D4230">
          <w:rPr>
            <w:noProof/>
            <w:webHidden/>
          </w:rPr>
          <w:tab/>
        </w:r>
        <w:r w:rsidR="009D4230">
          <w:rPr>
            <w:noProof/>
            <w:webHidden/>
          </w:rPr>
          <w:fldChar w:fldCharType="begin"/>
        </w:r>
        <w:r w:rsidR="009D4230">
          <w:rPr>
            <w:noProof/>
            <w:webHidden/>
          </w:rPr>
          <w:instrText xml:space="preserve"> PAGEREF _Toc401587728 \h </w:instrText>
        </w:r>
        <w:r w:rsidR="009D4230">
          <w:rPr>
            <w:noProof/>
            <w:webHidden/>
          </w:rPr>
        </w:r>
        <w:r w:rsidR="009D4230">
          <w:rPr>
            <w:noProof/>
            <w:webHidden/>
          </w:rPr>
          <w:fldChar w:fldCharType="separate"/>
        </w:r>
        <w:r w:rsidR="00B336AF">
          <w:rPr>
            <w:noProof/>
            <w:webHidden/>
          </w:rPr>
          <w:t>5</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29" w:history="1">
        <w:r w:rsidR="009D4230" w:rsidRPr="006F7B3A">
          <w:rPr>
            <w:rStyle w:val="Hyperlink"/>
            <w:noProof/>
          </w:rPr>
          <w:t>Background</w:t>
        </w:r>
        <w:r w:rsidR="009D4230">
          <w:rPr>
            <w:noProof/>
            <w:webHidden/>
          </w:rPr>
          <w:tab/>
        </w:r>
        <w:r w:rsidR="009D4230">
          <w:rPr>
            <w:noProof/>
            <w:webHidden/>
          </w:rPr>
          <w:fldChar w:fldCharType="begin"/>
        </w:r>
        <w:r w:rsidR="009D4230">
          <w:rPr>
            <w:noProof/>
            <w:webHidden/>
          </w:rPr>
          <w:instrText xml:space="preserve"> PAGEREF _Toc401587729 \h </w:instrText>
        </w:r>
        <w:r w:rsidR="009D4230">
          <w:rPr>
            <w:noProof/>
            <w:webHidden/>
          </w:rPr>
        </w:r>
        <w:r w:rsidR="009D4230">
          <w:rPr>
            <w:noProof/>
            <w:webHidden/>
          </w:rPr>
          <w:fldChar w:fldCharType="separate"/>
        </w:r>
        <w:r w:rsidR="00B336AF">
          <w:rPr>
            <w:noProof/>
            <w:webHidden/>
          </w:rPr>
          <w:t>7</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30" w:history="1">
        <w:r w:rsidR="009D4230" w:rsidRPr="006F7B3A">
          <w:rPr>
            <w:rStyle w:val="Hyperlink"/>
            <w:noProof/>
          </w:rPr>
          <w:t>About NEAC</w:t>
        </w:r>
        <w:r w:rsidR="009D4230">
          <w:rPr>
            <w:noProof/>
            <w:webHidden/>
          </w:rPr>
          <w:tab/>
        </w:r>
        <w:r w:rsidR="009D4230">
          <w:rPr>
            <w:noProof/>
            <w:webHidden/>
          </w:rPr>
          <w:fldChar w:fldCharType="begin"/>
        </w:r>
        <w:r w:rsidR="009D4230">
          <w:rPr>
            <w:noProof/>
            <w:webHidden/>
          </w:rPr>
          <w:instrText xml:space="preserve"> PAGEREF _Toc401587730 \h </w:instrText>
        </w:r>
        <w:r w:rsidR="009D4230">
          <w:rPr>
            <w:noProof/>
            <w:webHidden/>
          </w:rPr>
        </w:r>
        <w:r w:rsidR="009D4230">
          <w:rPr>
            <w:noProof/>
            <w:webHidden/>
          </w:rPr>
          <w:fldChar w:fldCharType="separate"/>
        </w:r>
        <w:r w:rsidR="00B336AF">
          <w:rPr>
            <w:noProof/>
            <w:webHidden/>
          </w:rPr>
          <w:t>7</w:t>
        </w:r>
        <w:r w:rsidR="009D4230">
          <w:rPr>
            <w:noProof/>
            <w:webHidden/>
          </w:rPr>
          <w:fldChar w:fldCharType="end"/>
        </w:r>
      </w:hyperlink>
    </w:p>
    <w:p w:rsidR="009D4230" w:rsidRDefault="00955202">
      <w:pPr>
        <w:pStyle w:val="TOC2"/>
        <w:tabs>
          <w:tab w:val="right" w:pos="9016"/>
        </w:tabs>
        <w:rPr>
          <w:rFonts w:asciiTheme="minorHAnsi" w:eastAsiaTheme="minorEastAsia" w:hAnsiTheme="minorHAnsi"/>
          <w:noProof/>
          <w:sz w:val="22"/>
          <w:lang w:eastAsia="en-NZ"/>
        </w:rPr>
      </w:pPr>
      <w:hyperlink w:anchor="_Toc401587731" w:history="1">
        <w:r w:rsidR="009D4230" w:rsidRPr="006F7B3A">
          <w:rPr>
            <w:rStyle w:val="Hyperlink"/>
            <w:noProof/>
          </w:rPr>
          <w:t>Background to this review</w:t>
        </w:r>
        <w:r w:rsidR="009D4230">
          <w:rPr>
            <w:noProof/>
            <w:webHidden/>
          </w:rPr>
          <w:tab/>
        </w:r>
        <w:r w:rsidR="009D4230">
          <w:rPr>
            <w:noProof/>
            <w:webHidden/>
          </w:rPr>
          <w:fldChar w:fldCharType="begin"/>
        </w:r>
        <w:r w:rsidR="009D4230">
          <w:rPr>
            <w:noProof/>
            <w:webHidden/>
          </w:rPr>
          <w:instrText xml:space="preserve"> PAGEREF _Toc401587731 \h </w:instrText>
        </w:r>
        <w:r w:rsidR="009D4230">
          <w:rPr>
            <w:noProof/>
            <w:webHidden/>
          </w:rPr>
        </w:r>
        <w:r w:rsidR="009D4230">
          <w:rPr>
            <w:noProof/>
            <w:webHidden/>
          </w:rPr>
          <w:fldChar w:fldCharType="separate"/>
        </w:r>
        <w:r w:rsidR="00B336AF">
          <w:rPr>
            <w:noProof/>
            <w:webHidden/>
          </w:rPr>
          <w:t>7</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32" w:history="1">
        <w:r w:rsidR="009D4230" w:rsidRPr="006F7B3A">
          <w:rPr>
            <w:rStyle w:val="Hyperlink"/>
            <w:noProof/>
          </w:rPr>
          <w:t>Scope of this review</w:t>
        </w:r>
        <w:r w:rsidR="009D4230">
          <w:rPr>
            <w:noProof/>
            <w:webHidden/>
          </w:rPr>
          <w:tab/>
        </w:r>
        <w:r w:rsidR="009D4230">
          <w:rPr>
            <w:noProof/>
            <w:webHidden/>
          </w:rPr>
          <w:fldChar w:fldCharType="begin"/>
        </w:r>
        <w:r w:rsidR="009D4230">
          <w:rPr>
            <w:noProof/>
            <w:webHidden/>
          </w:rPr>
          <w:instrText xml:space="preserve"> PAGEREF _Toc401587732 \h </w:instrText>
        </w:r>
        <w:r w:rsidR="009D4230">
          <w:rPr>
            <w:noProof/>
            <w:webHidden/>
          </w:rPr>
        </w:r>
        <w:r w:rsidR="009D4230">
          <w:rPr>
            <w:noProof/>
            <w:webHidden/>
          </w:rPr>
          <w:fldChar w:fldCharType="separate"/>
        </w:r>
        <w:r w:rsidR="00B336AF">
          <w:rPr>
            <w:noProof/>
            <w:webHidden/>
          </w:rPr>
          <w:t>8</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33" w:history="1">
        <w:r w:rsidR="009D4230" w:rsidRPr="006F7B3A">
          <w:rPr>
            <w:rStyle w:val="Hyperlink"/>
            <w:noProof/>
          </w:rPr>
          <w:t>Issues for discussion</w:t>
        </w:r>
        <w:r w:rsidR="009D4230">
          <w:rPr>
            <w:noProof/>
            <w:webHidden/>
          </w:rPr>
          <w:tab/>
        </w:r>
        <w:r w:rsidR="009D4230">
          <w:rPr>
            <w:noProof/>
            <w:webHidden/>
          </w:rPr>
          <w:fldChar w:fldCharType="begin"/>
        </w:r>
        <w:r w:rsidR="009D4230">
          <w:rPr>
            <w:noProof/>
            <w:webHidden/>
          </w:rPr>
          <w:instrText xml:space="preserve"> PAGEREF _Toc401587733 \h </w:instrText>
        </w:r>
        <w:r w:rsidR="009D4230">
          <w:rPr>
            <w:noProof/>
            <w:webHidden/>
          </w:rPr>
        </w:r>
        <w:r w:rsidR="009D4230">
          <w:rPr>
            <w:noProof/>
            <w:webHidden/>
          </w:rPr>
          <w:fldChar w:fldCharType="separate"/>
        </w:r>
        <w:r w:rsidR="00B336AF">
          <w:rPr>
            <w:noProof/>
            <w:webHidden/>
          </w:rPr>
          <w:t>9</w:t>
        </w:r>
        <w:r w:rsidR="009D4230">
          <w:rPr>
            <w:noProof/>
            <w:webHidden/>
          </w:rPr>
          <w:fldChar w:fldCharType="end"/>
        </w:r>
      </w:hyperlink>
    </w:p>
    <w:p w:rsidR="009D4230" w:rsidRDefault="00955202">
      <w:pPr>
        <w:pStyle w:val="TOC2"/>
        <w:tabs>
          <w:tab w:val="left" w:pos="880"/>
          <w:tab w:val="right" w:pos="9016"/>
        </w:tabs>
        <w:rPr>
          <w:rFonts w:asciiTheme="minorHAnsi" w:eastAsiaTheme="minorEastAsia" w:hAnsiTheme="minorHAnsi"/>
          <w:noProof/>
          <w:sz w:val="22"/>
          <w:lang w:eastAsia="en-NZ"/>
        </w:rPr>
      </w:pPr>
      <w:hyperlink w:anchor="_Toc401587734" w:history="1">
        <w:r w:rsidR="009D4230" w:rsidRPr="006F7B3A">
          <w:rPr>
            <w:rStyle w:val="Hyperlink"/>
            <w:noProof/>
          </w:rPr>
          <w:t>1.</w:t>
        </w:r>
        <w:r w:rsidR="009D4230">
          <w:rPr>
            <w:rFonts w:asciiTheme="minorHAnsi" w:eastAsiaTheme="minorEastAsia" w:hAnsiTheme="minorHAnsi"/>
            <w:noProof/>
            <w:sz w:val="22"/>
            <w:lang w:eastAsia="en-NZ"/>
          </w:rPr>
          <w:tab/>
        </w:r>
        <w:r w:rsidR="009D4230" w:rsidRPr="006F7B3A">
          <w:rPr>
            <w:rStyle w:val="Hyperlink"/>
            <w:noProof/>
          </w:rPr>
          <w:t>Complex research ethics landscape</w:t>
        </w:r>
        <w:r w:rsidR="009D4230">
          <w:rPr>
            <w:noProof/>
            <w:webHidden/>
          </w:rPr>
          <w:tab/>
        </w:r>
        <w:r w:rsidR="009D4230">
          <w:rPr>
            <w:noProof/>
            <w:webHidden/>
          </w:rPr>
          <w:fldChar w:fldCharType="begin"/>
        </w:r>
        <w:r w:rsidR="009D4230">
          <w:rPr>
            <w:noProof/>
            <w:webHidden/>
          </w:rPr>
          <w:instrText xml:space="preserve"> PAGEREF _Toc401587734 \h </w:instrText>
        </w:r>
        <w:r w:rsidR="009D4230">
          <w:rPr>
            <w:noProof/>
            <w:webHidden/>
          </w:rPr>
        </w:r>
        <w:r w:rsidR="009D4230">
          <w:rPr>
            <w:noProof/>
            <w:webHidden/>
          </w:rPr>
          <w:fldChar w:fldCharType="separate"/>
        </w:r>
        <w:r w:rsidR="00B336AF">
          <w:rPr>
            <w:noProof/>
            <w:webHidden/>
          </w:rPr>
          <w:t>10</w:t>
        </w:r>
        <w:r w:rsidR="009D4230">
          <w:rPr>
            <w:noProof/>
            <w:webHidden/>
          </w:rPr>
          <w:fldChar w:fldCharType="end"/>
        </w:r>
      </w:hyperlink>
    </w:p>
    <w:p w:rsidR="009D4230" w:rsidRDefault="00955202">
      <w:pPr>
        <w:pStyle w:val="TOC2"/>
        <w:tabs>
          <w:tab w:val="left" w:pos="880"/>
          <w:tab w:val="right" w:pos="9016"/>
        </w:tabs>
        <w:rPr>
          <w:rFonts w:asciiTheme="minorHAnsi" w:eastAsiaTheme="minorEastAsia" w:hAnsiTheme="minorHAnsi"/>
          <w:noProof/>
          <w:sz w:val="22"/>
          <w:lang w:eastAsia="en-NZ"/>
        </w:rPr>
      </w:pPr>
      <w:hyperlink w:anchor="_Toc401587735" w:history="1">
        <w:r w:rsidR="009D4230" w:rsidRPr="006F7B3A">
          <w:rPr>
            <w:rStyle w:val="Hyperlink"/>
            <w:noProof/>
          </w:rPr>
          <w:t>2.</w:t>
        </w:r>
        <w:r w:rsidR="009D4230">
          <w:rPr>
            <w:rFonts w:asciiTheme="minorHAnsi" w:eastAsiaTheme="minorEastAsia" w:hAnsiTheme="minorHAnsi"/>
            <w:noProof/>
            <w:sz w:val="22"/>
            <w:lang w:eastAsia="en-NZ"/>
          </w:rPr>
          <w:tab/>
        </w:r>
        <w:r w:rsidR="009D4230" w:rsidRPr="006F7B3A">
          <w:rPr>
            <w:rStyle w:val="Hyperlink"/>
            <w:noProof/>
          </w:rPr>
          <w:t>Māori and health research</w:t>
        </w:r>
        <w:r w:rsidR="009D4230">
          <w:rPr>
            <w:noProof/>
            <w:webHidden/>
          </w:rPr>
          <w:tab/>
        </w:r>
        <w:r w:rsidR="009D4230">
          <w:rPr>
            <w:noProof/>
            <w:webHidden/>
          </w:rPr>
          <w:fldChar w:fldCharType="begin"/>
        </w:r>
        <w:r w:rsidR="009D4230">
          <w:rPr>
            <w:noProof/>
            <w:webHidden/>
          </w:rPr>
          <w:instrText xml:space="preserve"> PAGEREF _Toc401587735 \h </w:instrText>
        </w:r>
        <w:r w:rsidR="009D4230">
          <w:rPr>
            <w:noProof/>
            <w:webHidden/>
          </w:rPr>
        </w:r>
        <w:r w:rsidR="009D4230">
          <w:rPr>
            <w:noProof/>
            <w:webHidden/>
          </w:rPr>
          <w:fldChar w:fldCharType="separate"/>
        </w:r>
        <w:r w:rsidR="00B336AF">
          <w:rPr>
            <w:noProof/>
            <w:webHidden/>
          </w:rPr>
          <w:t>15</w:t>
        </w:r>
        <w:r w:rsidR="009D4230">
          <w:rPr>
            <w:noProof/>
            <w:webHidden/>
          </w:rPr>
          <w:fldChar w:fldCharType="end"/>
        </w:r>
      </w:hyperlink>
    </w:p>
    <w:p w:rsidR="009D4230" w:rsidRDefault="00955202">
      <w:pPr>
        <w:pStyle w:val="TOC2"/>
        <w:tabs>
          <w:tab w:val="left" w:pos="880"/>
          <w:tab w:val="right" w:pos="9016"/>
        </w:tabs>
        <w:rPr>
          <w:rFonts w:asciiTheme="minorHAnsi" w:eastAsiaTheme="minorEastAsia" w:hAnsiTheme="minorHAnsi"/>
          <w:noProof/>
          <w:sz w:val="22"/>
          <w:lang w:eastAsia="en-NZ"/>
        </w:rPr>
      </w:pPr>
      <w:hyperlink w:anchor="_Toc401587736" w:history="1">
        <w:r w:rsidR="009D4230" w:rsidRPr="006F7B3A">
          <w:rPr>
            <w:rStyle w:val="Hyperlink"/>
            <w:noProof/>
          </w:rPr>
          <w:t>3.</w:t>
        </w:r>
        <w:r w:rsidR="009D4230">
          <w:rPr>
            <w:rFonts w:asciiTheme="minorHAnsi" w:eastAsiaTheme="minorEastAsia" w:hAnsiTheme="minorHAnsi"/>
            <w:noProof/>
            <w:sz w:val="22"/>
            <w:lang w:eastAsia="en-NZ"/>
          </w:rPr>
          <w:tab/>
        </w:r>
        <w:r w:rsidR="009D4230" w:rsidRPr="006F7B3A">
          <w:rPr>
            <w:rStyle w:val="Hyperlink"/>
            <w:noProof/>
          </w:rPr>
          <w:t>Alternative ethical review structures</w:t>
        </w:r>
        <w:r w:rsidR="009D4230">
          <w:rPr>
            <w:noProof/>
            <w:webHidden/>
          </w:rPr>
          <w:tab/>
        </w:r>
        <w:r w:rsidR="009D4230">
          <w:rPr>
            <w:noProof/>
            <w:webHidden/>
          </w:rPr>
          <w:fldChar w:fldCharType="begin"/>
        </w:r>
        <w:r w:rsidR="009D4230">
          <w:rPr>
            <w:noProof/>
            <w:webHidden/>
          </w:rPr>
          <w:instrText xml:space="preserve"> PAGEREF _Toc401587736 \h </w:instrText>
        </w:r>
        <w:r w:rsidR="009D4230">
          <w:rPr>
            <w:noProof/>
            <w:webHidden/>
          </w:rPr>
        </w:r>
        <w:r w:rsidR="009D4230">
          <w:rPr>
            <w:noProof/>
            <w:webHidden/>
          </w:rPr>
          <w:fldChar w:fldCharType="separate"/>
        </w:r>
        <w:r w:rsidR="00B336AF">
          <w:rPr>
            <w:noProof/>
            <w:webHidden/>
          </w:rPr>
          <w:t>18</w:t>
        </w:r>
        <w:r w:rsidR="009D4230">
          <w:rPr>
            <w:noProof/>
            <w:webHidden/>
          </w:rPr>
          <w:fldChar w:fldCharType="end"/>
        </w:r>
      </w:hyperlink>
    </w:p>
    <w:p w:rsidR="009D4230" w:rsidRDefault="00955202">
      <w:pPr>
        <w:pStyle w:val="TOC2"/>
        <w:tabs>
          <w:tab w:val="left" w:pos="880"/>
          <w:tab w:val="right" w:pos="9016"/>
        </w:tabs>
        <w:rPr>
          <w:rFonts w:asciiTheme="minorHAnsi" w:eastAsiaTheme="minorEastAsia" w:hAnsiTheme="minorHAnsi"/>
          <w:noProof/>
          <w:sz w:val="22"/>
          <w:lang w:eastAsia="en-NZ"/>
        </w:rPr>
      </w:pPr>
      <w:hyperlink w:anchor="_Toc401587737" w:history="1">
        <w:r w:rsidR="009D4230" w:rsidRPr="006F7B3A">
          <w:rPr>
            <w:rStyle w:val="Hyperlink"/>
            <w:noProof/>
          </w:rPr>
          <w:t>4.</w:t>
        </w:r>
        <w:r w:rsidR="009D4230">
          <w:rPr>
            <w:rFonts w:asciiTheme="minorHAnsi" w:eastAsiaTheme="minorEastAsia" w:hAnsiTheme="minorHAnsi"/>
            <w:noProof/>
            <w:sz w:val="22"/>
            <w:lang w:eastAsia="en-NZ"/>
          </w:rPr>
          <w:tab/>
        </w:r>
        <w:r w:rsidR="009D4230" w:rsidRPr="006F7B3A">
          <w:rPr>
            <w:rStyle w:val="Hyperlink"/>
            <w:noProof/>
          </w:rPr>
          <w:t>Peer review for scientific validity</w:t>
        </w:r>
        <w:r w:rsidR="009D4230">
          <w:rPr>
            <w:noProof/>
            <w:webHidden/>
          </w:rPr>
          <w:tab/>
        </w:r>
        <w:r w:rsidR="009D4230">
          <w:rPr>
            <w:noProof/>
            <w:webHidden/>
          </w:rPr>
          <w:fldChar w:fldCharType="begin"/>
        </w:r>
        <w:r w:rsidR="009D4230">
          <w:rPr>
            <w:noProof/>
            <w:webHidden/>
          </w:rPr>
          <w:instrText xml:space="preserve"> PAGEREF _Toc401587737 \h </w:instrText>
        </w:r>
        <w:r w:rsidR="009D4230">
          <w:rPr>
            <w:noProof/>
            <w:webHidden/>
          </w:rPr>
        </w:r>
        <w:r w:rsidR="009D4230">
          <w:rPr>
            <w:noProof/>
            <w:webHidden/>
          </w:rPr>
          <w:fldChar w:fldCharType="separate"/>
        </w:r>
        <w:r w:rsidR="00B336AF">
          <w:rPr>
            <w:noProof/>
            <w:webHidden/>
          </w:rPr>
          <w:t>21</w:t>
        </w:r>
        <w:r w:rsidR="009D4230">
          <w:rPr>
            <w:noProof/>
            <w:webHidden/>
          </w:rPr>
          <w:fldChar w:fldCharType="end"/>
        </w:r>
      </w:hyperlink>
    </w:p>
    <w:p w:rsidR="009D4230" w:rsidRDefault="00955202">
      <w:pPr>
        <w:pStyle w:val="TOC2"/>
        <w:tabs>
          <w:tab w:val="left" w:pos="880"/>
          <w:tab w:val="right" w:pos="9016"/>
        </w:tabs>
        <w:rPr>
          <w:rFonts w:asciiTheme="minorHAnsi" w:eastAsiaTheme="minorEastAsia" w:hAnsiTheme="minorHAnsi"/>
          <w:noProof/>
          <w:sz w:val="22"/>
          <w:lang w:eastAsia="en-NZ"/>
        </w:rPr>
      </w:pPr>
      <w:hyperlink w:anchor="_Toc401587738" w:history="1">
        <w:r w:rsidR="009D4230" w:rsidRPr="006F7B3A">
          <w:rPr>
            <w:rStyle w:val="Hyperlink"/>
            <w:noProof/>
          </w:rPr>
          <w:t>5.</w:t>
        </w:r>
        <w:r w:rsidR="009D4230">
          <w:rPr>
            <w:rFonts w:asciiTheme="minorHAnsi" w:eastAsiaTheme="minorEastAsia" w:hAnsiTheme="minorHAnsi"/>
            <w:noProof/>
            <w:sz w:val="22"/>
            <w:lang w:eastAsia="en-NZ"/>
          </w:rPr>
          <w:tab/>
        </w:r>
        <w:r w:rsidR="009D4230" w:rsidRPr="006F7B3A">
          <w:rPr>
            <w:rStyle w:val="Hyperlink"/>
            <w:noProof/>
          </w:rPr>
          <w:t>Audit and audit-related activity</w:t>
        </w:r>
        <w:r w:rsidR="009D4230">
          <w:rPr>
            <w:noProof/>
            <w:webHidden/>
          </w:rPr>
          <w:tab/>
        </w:r>
        <w:r w:rsidR="009D4230">
          <w:rPr>
            <w:noProof/>
            <w:webHidden/>
          </w:rPr>
          <w:fldChar w:fldCharType="begin"/>
        </w:r>
        <w:r w:rsidR="009D4230">
          <w:rPr>
            <w:noProof/>
            <w:webHidden/>
          </w:rPr>
          <w:instrText xml:space="preserve"> PAGEREF _Toc401587738 \h </w:instrText>
        </w:r>
        <w:r w:rsidR="009D4230">
          <w:rPr>
            <w:noProof/>
            <w:webHidden/>
          </w:rPr>
        </w:r>
        <w:r w:rsidR="009D4230">
          <w:rPr>
            <w:noProof/>
            <w:webHidden/>
          </w:rPr>
          <w:fldChar w:fldCharType="separate"/>
        </w:r>
        <w:r w:rsidR="00B336AF">
          <w:rPr>
            <w:noProof/>
            <w:webHidden/>
          </w:rPr>
          <w:t>24</w:t>
        </w:r>
        <w:r w:rsidR="009D4230">
          <w:rPr>
            <w:noProof/>
            <w:webHidden/>
          </w:rPr>
          <w:fldChar w:fldCharType="end"/>
        </w:r>
      </w:hyperlink>
    </w:p>
    <w:p w:rsidR="009D4230" w:rsidRDefault="00955202">
      <w:pPr>
        <w:pStyle w:val="TOC2"/>
        <w:tabs>
          <w:tab w:val="left" w:pos="880"/>
          <w:tab w:val="right" w:pos="9016"/>
        </w:tabs>
        <w:rPr>
          <w:rFonts w:asciiTheme="minorHAnsi" w:eastAsiaTheme="minorEastAsia" w:hAnsiTheme="minorHAnsi"/>
          <w:noProof/>
          <w:sz w:val="22"/>
          <w:lang w:eastAsia="en-NZ"/>
        </w:rPr>
      </w:pPr>
      <w:hyperlink w:anchor="_Toc401587739" w:history="1">
        <w:r w:rsidR="009D4230" w:rsidRPr="006F7B3A">
          <w:rPr>
            <w:rStyle w:val="Hyperlink"/>
            <w:noProof/>
          </w:rPr>
          <w:t>6.</w:t>
        </w:r>
        <w:r w:rsidR="009D4230">
          <w:rPr>
            <w:rFonts w:asciiTheme="minorHAnsi" w:eastAsiaTheme="minorEastAsia" w:hAnsiTheme="minorHAnsi"/>
            <w:noProof/>
            <w:sz w:val="22"/>
            <w:lang w:eastAsia="en-NZ"/>
          </w:rPr>
          <w:tab/>
        </w:r>
        <w:r w:rsidR="009D4230" w:rsidRPr="006F7B3A">
          <w:rPr>
            <w:rStyle w:val="Hyperlink"/>
            <w:noProof/>
          </w:rPr>
          <w:t>Innovative practice</w:t>
        </w:r>
        <w:r w:rsidR="009D4230">
          <w:rPr>
            <w:noProof/>
            <w:webHidden/>
          </w:rPr>
          <w:tab/>
        </w:r>
        <w:r w:rsidR="009D4230">
          <w:rPr>
            <w:noProof/>
            <w:webHidden/>
          </w:rPr>
          <w:fldChar w:fldCharType="begin"/>
        </w:r>
        <w:r w:rsidR="009D4230">
          <w:rPr>
            <w:noProof/>
            <w:webHidden/>
          </w:rPr>
          <w:instrText xml:space="preserve"> PAGEREF _Toc401587739 \h </w:instrText>
        </w:r>
        <w:r w:rsidR="009D4230">
          <w:rPr>
            <w:noProof/>
            <w:webHidden/>
          </w:rPr>
        </w:r>
        <w:r w:rsidR="009D4230">
          <w:rPr>
            <w:noProof/>
            <w:webHidden/>
          </w:rPr>
          <w:fldChar w:fldCharType="separate"/>
        </w:r>
        <w:r w:rsidR="00B336AF">
          <w:rPr>
            <w:noProof/>
            <w:webHidden/>
          </w:rPr>
          <w:t>29</w:t>
        </w:r>
        <w:r w:rsidR="009D4230">
          <w:rPr>
            <w:noProof/>
            <w:webHidden/>
          </w:rPr>
          <w:fldChar w:fldCharType="end"/>
        </w:r>
      </w:hyperlink>
    </w:p>
    <w:p w:rsidR="009D4230" w:rsidRDefault="00955202">
      <w:pPr>
        <w:pStyle w:val="TOC2"/>
        <w:tabs>
          <w:tab w:val="left" w:pos="880"/>
          <w:tab w:val="right" w:pos="9016"/>
        </w:tabs>
        <w:rPr>
          <w:rFonts w:asciiTheme="minorHAnsi" w:eastAsiaTheme="minorEastAsia" w:hAnsiTheme="minorHAnsi"/>
          <w:noProof/>
          <w:sz w:val="22"/>
          <w:lang w:eastAsia="en-NZ"/>
        </w:rPr>
      </w:pPr>
      <w:hyperlink w:anchor="_Toc401587740" w:history="1">
        <w:r w:rsidR="009D4230" w:rsidRPr="006F7B3A">
          <w:rPr>
            <w:rStyle w:val="Hyperlink"/>
            <w:noProof/>
          </w:rPr>
          <w:t>7.</w:t>
        </w:r>
        <w:r w:rsidR="009D4230">
          <w:rPr>
            <w:rFonts w:asciiTheme="minorHAnsi" w:eastAsiaTheme="minorEastAsia" w:hAnsiTheme="minorHAnsi"/>
            <w:noProof/>
            <w:sz w:val="22"/>
            <w:lang w:eastAsia="en-NZ"/>
          </w:rPr>
          <w:tab/>
        </w:r>
        <w:r w:rsidR="009D4230" w:rsidRPr="006F7B3A">
          <w:rPr>
            <w:rStyle w:val="Hyperlink"/>
            <w:noProof/>
          </w:rPr>
          <w:t>Other issues</w:t>
        </w:r>
        <w:r w:rsidR="009D4230">
          <w:rPr>
            <w:noProof/>
            <w:webHidden/>
          </w:rPr>
          <w:tab/>
        </w:r>
        <w:r w:rsidR="009D4230">
          <w:rPr>
            <w:noProof/>
            <w:webHidden/>
          </w:rPr>
          <w:fldChar w:fldCharType="begin"/>
        </w:r>
        <w:r w:rsidR="009D4230">
          <w:rPr>
            <w:noProof/>
            <w:webHidden/>
          </w:rPr>
          <w:instrText xml:space="preserve"> PAGEREF _Toc401587740 \h </w:instrText>
        </w:r>
        <w:r w:rsidR="009D4230">
          <w:rPr>
            <w:noProof/>
            <w:webHidden/>
          </w:rPr>
        </w:r>
        <w:r w:rsidR="009D4230">
          <w:rPr>
            <w:noProof/>
            <w:webHidden/>
          </w:rPr>
          <w:fldChar w:fldCharType="separate"/>
        </w:r>
        <w:r w:rsidR="00B336AF">
          <w:rPr>
            <w:noProof/>
            <w:webHidden/>
          </w:rPr>
          <w:t>31</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41" w:history="1">
        <w:r w:rsidR="009D4230" w:rsidRPr="006F7B3A">
          <w:rPr>
            <w:rStyle w:val="Hyperlink"/>
            <w:noProof/>
          </w:rPr>
          <w:t>Appendix 1:  Ethics review, advisory and monitoring bodies</w:t>
        </w:r>
        <w:r w:rsidR="009D4230">
          <w:rPr>
            <w:noProof/>
            <w:webHidden/>
          </w:rPr>
          <w:tab/>
        </w:r>
        <w:r w:rsidR="009D4230">
          <w:rPr>
            <w:noProof/>
            <w:webHidden/>
          </w:rPr>
          <w:fldChar w:fldCharType="begin"/>
        </w:r>
        <w:r w:rsidR="009D4230">
          <w:rPr>
            <w:noProof/>
            <w:webHidden/>
          </w:rPr>
          <w:instrText xml:space="preserve"> PAGEREF _Toc401587741 \h </w:instrText>
        </w:r>
        <w:r w:rsidR="009D4230">
          <w:rPr>
            <w:noProof/>
            <w:webHidden/>
          </w:rPr>
        </w:r>
        <w:r w:rsidR="009D4230">
          <w:rPr>
            <w:noProof/>
            <w:webHidden/>
          </w:rPr>
          <w:fldChar w:fldCharType="separate"/>
        </w:r>
        <w:r w:rsidR="00B336AF">
          <w:rPr>
            <w:noProof/>
            <w:webHidden/>
          </w:rPr>
          <w:t>32</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42" w:history="1">
        <w:r w:rsidR="009D4230" w:rsidRPr="006F7B3A">
          <w:rPr>
            <w:rStyle w:val="Hyperlink"/>
            <w:noProof/>
          </w:rPr>
          <w:t>Appendix 2: List of Stakeholders</w:t>
        </w:r>
        <w:r w:rsidR="009D4230">
          <w:rPr>
            <w:noProof/>
            <w:webHidden/>
          </w:rPr>
          <w:tab/>
        </w:r>
        <w:r w:rsidR="009D4230">
          <w:rPr>
            <w:noProof/>
            <w:webHidden/>
          </w:rPr>
          <w:fldChar w:fldCharType="begin"/>
        </w:r>
        <w:r w:rsidR="009D4230">
          <w:rPr>
            <w:noProof/>
            <w:webHidden/>
          </w:rPr>
          <w:instrText xml:space="preserve"> PAGEREF _Toc401587742 \h </w:instrText>
        </w:r>
        <w:r w:rsidR="009D4230">
          <w:rPr>
            <w:noProof/>
            <w:webHidden/>
          </w:rPr>
        </w:r>
        <w:r w:rsidR="009D4230">
          <w:rPr>
            <w:noProof/>
            <w:webHidden/>
          </w:rPr>
          <w:fldChar w:fldCharType="separate"/>
        </w:r>
        <w:r w:rsidR="00B336AF">
          <w:rPr>
            <w:noProof/>
            <w:webHidden/>
          </w:rPr>
          <w:t>35</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43" w:history="1">
        <w:r w:rsidR="009D4230" w:rsidRPr="006F7B3A">
          <w:rPr>
            <w:rStyle w:val="Hyperlink"/>
            <w:noProof/>
          </w:rPr>
          <w:t>Appendix 3:  Guidelines and legislation</w:t>
        </w:r>
        <w:r w:rsidR="009D4230">
          <w:rPr>
            <w:noProof/>
            <w:webHidden/>
          </w:rPr>
          <w:tab/>
        </w:r>
        <w:r w:rsidR="009D4230">
          <w:rPr>
            <w:noProof/>
            <w:webHidden/>
          </w:rPr>
          <w:fldChar w:fldCharType="begin"/>
        </w:r>
        <w:r w:rsidR="009D4230">
          <w:rPr>
            <w:noProof/>
            <w:webHidden/>
          </w:rPr>
          <w:instrText xml:space="preserve"> PAGEREF _Toc401587743 \h </w:instrText>
        </w:r>
        <w:r w:rsidR="009D4230">
          <w:rPr>
            <w:noProof/>
            <w:webHidden/>
          </w:rPr>
        </w:r>
        <w:r w:rsidR="009D4230">
          <w:rPr>
            <w:noProof/>
            <w:webHidden/>
          </w:rPr>
          <w:fldChar w:fldCharType="separate"/>
        </w:r>
        <w:r w:rsidR="00B336AF">
          <w:rPr>
            <w:noProof/>
            <w:webHidden/>
          </w:rPr>
          <w:t>36</w:t>
        </w:r>
        <w:r w:rsidR="009D4230">
          <w:rPr>
            <w:noProof/>
            <w:webHidden/>
          </w:rPr>
          <w:fldChar w:fldCharType="end"/>
        </w:r>
      </w:hyperlink>
    </w:p>
    <w:p w:rsidR="009D4230" w:rsidRDefault="00955202" w:rsidP="009D4230">
      <w:pPr>
        <w:pStyle w:val="TOC1"/>
        <w:tabs>
          <w:tab w:val="clear" w:pos="8959"/>
          <w:tab w:val="right" w:pos="9015"/>
        </w:tabs>
        <w:rPr>
          <w:rFonts w:asciiTheme="minorHAnsi" w:eastAsiaTheme="minorEastAsia" w:hAnsiTheme="minorHAnsi"/>
          <w:noProof/>
          <w:sz w:val="22"/>
          <w:lang w:eastAsia="en-NZ"/>
        </w:rPr>
      </w:pPr>
      <w:hyperlink w:anchor="_Toc401587744" w:history="1">
        <w:r w:rsidR="009D4230" w:rsidRPr="006F7B3A">
          <w:rPr>
            <w:rStyle w:val="Hyperlink"/>
            <w:noProof/>
          </w:rPr>
          <w:t>Appendix 4:  NEAC’s Goals, Objectives and Desired Outcomes of an Ethical Review System</w:t>
        </w:r>
        <w:r w:rsidR="009D4230">
          <w:rPr>
            <w:noProof/>
            <w:webHidden/>
          </w:rPr>
          <w:tab/>
        </w:r>
        <w:r w:rsidR="009D4230">
          <w:rPr>
            <w:noProof/>
            <w:webHidden/>
          </w:rPr>
          <w:fldChar w:fldCharType="begin"/>
        </w:r>
        <w:r w:rsidR="009D4230">
          <w:rPr>
            <w:noProof/>
            <w:webHidden/>
          </w:rPr>
          <w:instrText xml:space="preserve"> PAGEREF _Toc401587744 \h </w:instrText>
        </w:r>
        <w:r w:rsidR="009D4230">
          <w:rPr>
            <w:noProof/>
            <w:webHidden/>
          </w:rPr>
        </w:r>
        <w:r w:rsidR="009D4230">
          <w:rPr>
            <w:noProof/>
            <w:webHidden/>
          </w:rPr>
          <w:fldChar w:fldCharType="separate"/>
        </w:r>
        <w:r w:rsidR="00B336AF">
          <w:rPr>
            <w:noProof/>
            <w:webHidden/>
          </w:rPr>
          <w:t>43</w:t>
        </w:r>
        <w:r w:rsidR="009D4230">
          <w:rPr>
            <w:noProof/>
            <w:webHidden/>
          </w:rPr>
          <w:fldChar w:fldCharType="end"/>
        </w:r>
      </w:hyperlink>
    </w:p>
    <w:p w:rsidR="000250C2" w:rsidRDefault="000250C2">
      <w:pPr>
        <w:rPr>
          <w:rStyle w:val="Strong"/>
          <w:b w:val="0"/>
        </w:rPr>
      </w:pPr>
      <w:r>
        <w:rPr>
          <w:rStyle w:val="Strong"/>
          <w:b w:val="0"/>
        </w:rPr>
        <w:fldChar w:fldCharType="end"/>
      </w:r>
    </w:p>
    <w:p w:rsidR="000250C2" w:rsidRDefault="000250C2">
      <w:pPr>
        <w:rPr>
          <w:rStyle w:val="Strong"/>
          <w:rFonts w:asciiTheme="majorHAnsi" w:eastAsiaTheme="majorEastAsia" w:hAnsiTheme="majorHAnsi" w:cstheme="majorBidi"/>
          <w:bCs w:val="0"/>
          <w:color w:val="365F91" w:themeColor="accent1" w:themeShade="BF"/>
          <w:sz w:val="28"/>
          <w:szCs w:val="28"/>
        </w:rPr>
      </w:pPr>
      <w:r>
        <w:rPr>
          <w:rStyle w:val="Strong"/>
          <w:b w:val="0"/>
        </w:rPr>
        <w:br w:type="page"/>
      </w:r>
    </w:p>
    <w:p w:rsidR="009466C0" w:rsidRPr="008B595B" w:rsidRDefault="009466C0" w:rsidP="00CE08DE">
      <w:pPr>
        <w:pStyle w:val="Heading1"/>
        <w:spacing w:before="0"/>
      </w:pPr>
      <w:bookmarkStart w:id="2" w:name="_Toc401587720"/>
      <w:r w:rsidRPr="008B595B">
        <w:rPr>
          <w:rStyle w:val="Strong"/>
          <w:b/>
        </w:rPr>
        <w:t>Introduction</w:t>
      </w:r>
      <w:bookmarkEnd w:id="0"/>
      <w:r w:rsidRPr="008B595B">
        <w:rPr>
          <w:rStyle w:val="Strong"/>
          <w:b/>
        </w:rPr>
        <w:t xml:space="preserve"> and purpose</w:t>
      </w:r>
      <w:bookmarkEnd w:id="1"/>
      <w:bookmarkEnd w:id="2"/>
    </w:p>
    <w:p w:rsidR="00CE08DE" w:rsidRDefault="00CE08DE" w:rsidP="00CE08DE">
      <w:pPr>
        <w:pStyle w:val="NEACbullet"/>
        <w:spacing w:before="0"/>
        <w:ind w:left="0" w:firstLine="0"/>
        <w:rPr>
          <w:rFonts w:eastAsia="Calibri"/>
        </w:rPr>
      </w:pPr>
    </w:p>
    <w:p w:rsidR="009466C0" w:rsidRDefault="009466C0" w:rsidP="00CE08DE">
      <w:pPr>
        <w:pStyle w:val="NEACbullet"/>
        <w:spacing w:before="0"/>
        <w:ind w:left="0" w:firstLine="0"/>
        <w:rPr>
          <w:rFonts w:ascii="Arial" w:hAnsi="Arial" w:cs="Arial"/>
        </w:rPr>
      </w:pPr>
      <w:r w:rsidRPr="00BF516A">
        <w:rPr>
          <w:rFonts w:eastAsia="Calibri"/>
        </w:rPr>
        <w:t>T</w:t>
      </w:r>
      <w:r w:rsidRPr="00BF516A">
        <w:t>he National</w:t>
      </w:r>
      <w:r>
        <w:rPr>
          <w:rFonts w:ascii="Arial" w:hAnsi="Arial" w:cs="Arial"/>
        </w:rPr>
        <w:t xml:space="preserve"> Ethics Advisory Committee</w:t>
      </w:r>
      <w:r w:rsidRPr="00806C9D">
        <w:rPr>
          <w:rFonts w:ascii="Arial" w:hAnsi="Arial" w:cs="Arial"/>
        </w:rPr>
        <w:t xml:space="preserve"> (NEAC) is seeking your views on existing cross-</w:t>
      </w:r>
      <w:proofErr w:type="spellStart"/>
      <w:r w:rsidRPr="00806C9D">
        <w:rPr>
          <w:rFonts w:ascii="Arial" w:hAnsi="Arial" w:cs="Arial"/>
        </w:rPr>
        <w:t>sectoral</w:t>
      </w:r>
      <w:proofErr w:type="spellEnd"/>
      <w:r w:rsidRPr="00806C9D">
        <w:rPr>
          <w:rFonts w:ascii="Arial" w:hAnsi="Arial" w:cs="Arial"/>
        </w:rPr>
        <w:t xml:space="preserve"> ethics arrangements for health and disability research.</w:t>
      </w:r>
    </w:p>
    <w:p w:rsidR="00CE08DE" w:rsidRDefault="00CE08DE" w:rsidP="00CE08DE">
      <w:pPr>
        <w:pStyle w:val="NEACbullet"/>
        <w:spacing w:before="0"/>
        <w:ind w:left="0" w:firstLine="0"/>
        <w:rPr>
          <w:rFonts w:ascii="Arial" w:hAnsi="Arial" w:cs="Arial"/>
        </w:rPr>
      </w:pPr>
    </w:p>
    <w:p w:rsidR="009466C0" w:rsidRDefault="009466C0" w:rsidP="00CE08DE">
      <w:pPr>
        <w:pStyle w:val="NEACbodypara"/>
        <w:spacing w:before="0"/>
      </w:pPr>
      <w:r w:rsidRPr="00212168">
        <w:t xml:space="preserve">Health and disability research ethics </w:t>
      </w:r>
      <w:r>
        <w:t>arrangements</w:t>
      </w:r>
      <w:r w:rsidRPr="00212168">
        <w:t xml:space="preserve"> </w:t>
      </w:r>
      <w:r>
        <w:t>include:</w:t>
      </w:r>
    </w:p>
    <w:p w:rsidR="00CE08DE" w:rsidRDefault="00CE08DE" w:rsidP="00CE08DE">
      <w:pPr>
        <w:pStyle w:val="NEACbodypara"/>
        <w:spacing w:before="0"/>
      </w:pPr>
    </w:p>
    <w:p w:rsidR="009466C0" w:rsidRDefault="009466C0" w:rsidP="00CE08DE">
      <w:pPr>
        <w:pStyle w:val="Number"/>
        <w:keepNext/>
        <w:numPr>
          <w:ilvl w:val="0"/>
          <w:numId w:val="29"/>
        </w:numPr>
        <w:spacing w:before="0"/>
        <w:rPr>
          <w:rFonts w:cs="Arial"/>
          <w:sz w:val="24"/>
          <w:szCs w:val="24"/>
        </w:rPr>
      </w:pPr>
      <w:r w:rsidRPr="00F907D8">
        <w:rPr>
          <w:rFonts w:cs="Arial"/>
          <w:sz w:val="24"/>
          <w:szCs w:val="24"/>
        </w:rPr>
        <w:t>responsibility for the ethical design, review, conduct and monitoring of health and disability research; and</w:t>
      </w:r>
    </w:p>
    <w:p w:rsidR="00CE08DE" w:rsidRPr="00F907D8" w:rsidRDefault="00CE08DE" w:rsidP="00CE08DE">
      <w:pPr>
        <w:pStyle w:val="Number"/>
        <w:keepNext/>
        <w:tabs>
          <w:tab w:val="clear" w:pos="360"/>
        </w:tabs>
        <w:spacing w:before="0"/>
        <w:ind w:left="720"/>
        <w:rPr>
          <w:rFonts w:cs="Arial"/>
          <w:sz w:val="24"/>
          <w:szCs w:val="24"/>
        </w:rPr>
      </w:pPr>
    </w:p>
    <w:p w:rsidR="009466C0" w:rsidRDefault="009466C0" w:rsidP="00CE08DE">
      <w:pPr>
        <w:pStyle w:val="Number"/>
        <w:keepNext/>
        <w:numPr>
          <w:ilvl w:val="0"/>
          <w:numId w:val="29"/>
        </w:numPr>
        <w:spacing w:before="0"/>
        <w:rPr>
          <w:rFonts w:cs="Arial"/>
          <w:sz w:val="24"/>
          <w:szCs w:val="24"/>
        </w:rPr>
      </w:pPr>
      <w:r w:rsidRPr="00F907D8">
        <w:rPr>
          <w:rFonts w:cs="Arial"/>
          <w:sz w:val="24"/>
          <w:szCs w:val="24"/>
        </w:rPr>
        <w:t xml:space="preserve">the standards, processes and structures to support and facilitate this responsibility.  </w:t>
      </w:r>
    </w:p>
    <w:p w:rsidR="00CE08DE" w:rsidRPr="00F907D8" w:rsidRDefault="00CE08DE" w:rsidP="00CE08DE">
      <w:pPr>
        <w:pStyle w:val="Number"/>
        <w:keepNext/>
        <w:tabs>
          <w:tab w:val="clear" w:pos="360"/>
        </w:tabs>
        <w:spacing w:before="0"/>
        <w:ind w:left="720"/>
        <w:rPr>
          <w:rFonts w:cs="Arial"/>
          <w:sz w:val="24"/>
          <w:szCs w:val="24"/>
        </w:rPr>
      </w:pPr>
    </w:p>
    <w:p w:rsidR="009466C0" w:rsidRDefault="009466C0" w:rsidP="00CE08DE">
      <w:pPr>
        <w:pStyle w:val="Number"/>
        <w:keepNext/>
        <w:tabs>
          <w:tab w:val="clear" w:pos="360"/>
        </w:tabs>
        <w:spacing w:before="0"/>
        <w:rPr>
          <w:rFonts w:cs="Arial"/>
          <w:sz w:val="24"/>
          <w:szCs w:val="24"/>
        </w:rPr>
      </w:pPr>
      <w:r w:rsidRPr="00806C9D">
        <w:rPr>
          <w:rFonts w:eastAsia="Calibri" w:cs="Arial"/>
          <w:sz w:val="24"/>
          <w:szCs w:val="24"/>
          <w:lang w:eastAsia="en-US"/>
        </w:rPr>
        <w:t xml:space="preserve">This discussion document </w:t>
      </w:r>
      <w:r w:rsidRPr="00806C9D">
        <w:rPr>
          <w:rFonts w:cs="Arial"/>
          <w:sz w:val="24"/>
          <w:szCs w:val="24"/>
        </w:rPr>
        <w:t xml:space="preserve">summarises NEAC’s analysis of the: </w:t>
      </w:r>
    </w:p>
    <w:p w:rsidR="00CE08DE" w:rsidRPr="00806C9D" w:rsidRDefault="00CE08DE" w:rsidP="00CE08DE">
      <w:pPr>
        <w:pStyle w:val="Number"/>
        <w:keepNext/>
        <w:tabs>
          <w:tab w:val="clear" w:pos="360"/>
        </w:tabs>
        <w:spacing w:before="0"/>
        <w:rPr>
          <w:rFonts w:cs="Arial"/>
          <w:sz w:val="24"/>
          <w:szCs w:val="24"/>
        </w:rPr>
      </w:pPr>
    </w:p>
    <w:p w:rsidR="009466C0" w:rsidRDefault="009466C0" w:rsidP="00CE08DE">
      <w:pPr>
        <w:pStyle w:val="Number"/>
        <w:keepNext/>
        <w:numPr>
          <w:ilvl w:val="0"/>
          <w:numId w:val="30"/>
        </w:numPr>
        <w:spacing w:before="0"/>
        <w:rPr>
          <w:rFonts w:cs="Arial"/>
          <w:sz w:val="24"/>
          <w:szCs w:val="24"/>
        </w:rPr>
      </w:pPr>
      <w:r w:rsidRPr="00F907D8">
        <w:rPr>
          <w:rFonts w:cs="Arial"/>
          <w:sz w:val="24"/>
          <w:szCs w:val="24"/>
        </w:rPr>
        <w:t>current ethics arrangements</w:t>
      </w:r>
    </w:p>
    <w:p w:rsidR="00CE08DE" w:rsidRDefault="00CE08DE" w:rsidP="00CE08DE">
      <w:pPr>
        <w:pStyle w:val="Number"/>
        <w:keepNext/>
        <w:tabs>
          <w:tab w:val="clear" w:pos="360"/>
        </w:tabs>
        <w:spacing w:before="0"/>
        <w:ind w:left="720"/>
        <w:rPr>
          <w:rFonts w:cs="Arial"/>
          <w:sz w:val="24"/>
          <w:szCs w:val="24"/>
        </w:rPr>
      </w:pPr>
    </w:p>
    <w:p w:rsidR="009466C0" w:rsidRDefault="009466C0" w:rsidP="00CE08DE">
      <w:pPr>
        <w:pStyle w:val="Number"/>
        <w:keepNext/>
        <w:numPr>
          <w:ilvl w:val="0"/>
          <w:numId w:val="30"/>
        </w:numPr>
        <w:spacing w:before="0"/>
        <w:rPr>
          <w:rFonts w:cs="Arial"/>
          <w:sz w:val="24"/>
          <w:szCs w:val="24"/>
        </w:rPr>
      </w:pPr>
      <w:r w:rsidRPr="00F907D8">
        <w:rPr>
          <w:rFonts w:cs="Arial"/>
          <w:sz w:val="24"/>
          <w:szCs w:val="24"/>
        </w:rPr>
        <w:t xml:space="preserve">issues with these </w:t>
      </w:r>
      <w:r>
        <w:rPr>
          <w:rFonts w:cs="Arial"/>
          <w:sz w:val="24"/>
          <w:szCs w:val="24"/>
        </w:rPr>
        <w:t>a</w:t>
      </w:r>
      <w:r w:rsidRPr="00F907D8">
        <w:rPr>
          <w:rFonts w:cs="Arial"/>
          <w:sz w:val="24"/>
          <w:szCs w:val="24"/>
        </w:rPr>
        <w:t xml:space="preserve">rrangements </w:t>
      </w:r>
    </w:p>
    <w:p w:rsidR="00CE08DE" w:rsidRPr="00F907D8" w:rsidRDefault="00CE08DE" w:rsidP="00CE08DE">
      <w:pPr>
        <w:pStyle w:val="Number"/>
        <w:keepNext/>
        <w:tabs>
          <w:tab w:val="clear" w:pos="360"/>
        </w:tabs>
        <w:spacing w:before="0"/>
        <w:rPr>
          <w:rFonts w:cs="Arial"/>
          <w:sz w:val="24"/>
          <w:szCs w:val="24"/>
        </w:rPr>
      </w:pPr>
    </w:p>
    <w:p w:rsidR="009466C0" w:rsidRDefault="009466C0" w:rsidP="00CE08DE">
      <w:pPr>
        <w:pStyle w:val="Number"/>
        <w:keepNext/>
        <w:numPr>
          <w:ilvl w:val="0"/>
          <w:numId w:val="30"/>
        </w:numPr>
        <w:spacing w:before="0"/>
        <w:rPr>
          <w:rFonts w:cs="Arial"/>
          <w:sz w:val="24"/>
          <w:szCs w:val="24"/>
        </w:rPr>
      </w:pPr>
      <w:r w:rsidRPr="00806C9D">
        <w:rPr>
          <w:rFonts w:cs="Arial"/>
          <w:sz w:val="24"/>
          <w:szCs w:val="24"/>
        </w:rPr>
        <w:t>current responses to issues</w:t>
      </w:r>
    </w:p>
    <w:p w:rsidR="00CE08DE" w:rsidRPr="00806C9D" w:rsidRDefault="00CE08DE" w:rsidP="00CE08DE">
      <w:pPr>
        <w:pStyle w:val="Number"/>
        <w:keepNext/>
        <w:tabs>
          <w:tab w:val="clear" w:pos="360"/>
        </w:tabs>
        <w:spacing w:before="0"/>
        <w:rPr>
          <w:rFonts w:cs="Arial"/>
          <w:sz w:val="24"/>
          <w:szCs w:val="24"/>
        </w:rPr>
      </w:pPr>
    </w:p>
    <w:p w:rsidR="009466C0" w:rsidRDefault="009466C0" w:rsidP="00CE08DE">
      <w:pPr>
        <w:pStyle w:val="Number"/>
        <w:keepNext/>
        <w:numPr>
          <w:ilvl w:val="0"/>
          <w:numId w:val="30"/>
        </w:numPr>
        <w:spacing w:before="0"/>
        <w:rPr>
          <w:rFonts w:cs="Arial"/>
          <w:sz w:val="24"/>
          <w:szCs w:val="24"/>
        </w:rPr>
      </w:pPr>
      <w:r w:rsidRPr="00806C9D">
        <w:rPr>
          <w:rFonts w:cs="Arial"/>
          <w:sz w:val="24"/>
          <w:szCs w:val="24"/>
        </w:rPr>
        <w:t>other possible responses to issues.</w:t>
      </w:r>
    </w:p>
    <w:p w:rsidR="00CE08DE" w:rsidRPr="00806C9D" w:rsidRDefault="00CE08DE" w:rsidP="00CE08DE">
      <w:pPr>
        <w:pStyle w:val="Number"/>
        <w:keepNext/>
        <w:tabs>
          <w:tab w:val="clear" w:pos="360"/>
        </w:tabs>
        <w:spacing w:before="0"/>
        <w:ind w:left="720"/>
        <w:rPr>
          <w:rFonts w:cs="Arial"/>
          <w:sz w:val="24"/>
          <w:szCs w:val="24"/>
        </w:rPr>
      </w:pPr>
    </w:p>
    <w:p w:rsidR="009466C0" w:rsidRDefault="009466C0" w:rsidP="00CE08DE">
      <w:pPr>
        <w:pStyle w:val="NEACbullet"/>
        <w:tabs>
          <w:tab w:val="clear" w:pos="720"/>
        </w:tabs>
        <w:spacing w:before="0"/>
        <w:ind w:left="0" w:firstLine="0"/>
        <w:rPr>
          <w:rFonts w:ascii="Arial" w:hAnsi="Arial" w:cs="Arial"/>
        </w:rPr>
      </w:pPr>
      <w:r w:rsidRPr="00806C9D">
        <w:rPr>
          <w:rFonts w:ascii="Arial" w:hAnsi="Arial" w:cs="Arial"/>
        </w:rPr>
        <w:t xml:space="preserve">Your feedback will help to inform </w:t>
      </w:r>
      <w:r>
        <w:rPr>
          <w:rFonts w:ascii="Arial" w:hAnsi="Arial" w:cs="Arial"/>
        </w:rPr>
        <w:t xml:space="preserve">advice to the </w:t>
      </w:r>
      <w:r w:rsidR="001D3BE2">
        <w:rPr>
          <w:rFonts w:ascii="Arial" w:hAnsi="Arial" w:cs="Arial"/>
        </w:rPr>
        <w:t xml:space="preserve">Associate </w:t>
      </w:r>
      <w:r>
        <w:rPr>
          <w:rFonts w:ascii="Arial" w:hAnsi="Arial" w:cs="Arial"/>
        </w:rPr>
        <w:t>Minister of Health on current issues a</w:t>
      </w:r>
      <w:r w:rsidR="00CE08DE">
        <w:rPr>
          <w:rFonts w:ascii="Arial" w:hAnsi="Arial" w:cs="Arial"/>
        </w:rPr>
        <w:t xml:space="preserve">nd how these may be addressed. </w:t>
      </w:r>
      <w:r w:rsidRPr="00806C9D">
        <w:rPr>
          <w:rFonts w:ascii="Arial" w:hAnsi="Arial" w:cs="Arial"/>
        </w:rPr>
        <w:t xml:space="preserve">Your feedback will also inform </w:t>
      </w:r>
      <w:r>
        <w:rPr>
          <w:rFonts w:ascii="Arial" w:hAnsi="Arial" w:cs="Arial"/>
        </w:rPr>
        <w:t xml:space="preserve">NEAC’s review of </w:t>
      </w:r>
      <w:r w:rsidRPr="00806C9D">
        <w:rPr>
          <w:rFonts w:ascii="Arial" w:hAnsi="Arial" w:cs="Arial"/>
          <w:i/>
        </w:rPr>
        <w:t xml:space="preserve">Ethical Guidelines for Observational Studies </w:t>
      </w:r>
      <w:r>
        <w:t xml:space="preserve">(2012) </w:t>
      </w:r>
      <w:r w:rsidRPr="00806C9D">
        <w:rPr>
          <w:rFonts w:ascii="Arial" w:hAnsi="Arial" w:cs="Arial"/>
        </w:rPr>
        <w:t xml:space="preserve">and </w:t>
      </w:r>
      <w:r w:rsidRPr="00806C9D">
        <w:rPr>
          <w:rFonts w:ascii="Arial" w:hAnsi="Arial" w:cs="Arial"/>
          <w:i/>
        </w:rPr>
        <w:t>Ethical Guidelines for Intervention Studies</w:t>
      </w:r>
      <w:r>
        <w:rPr>
          <w:rFonts w:ascii="Arial" w:hAnsi="Arial" w:cs="Arial"/>
          <w:i/>
        </w:rPr>
        <w:t xml:space="preserve"> </w:t>
      </w:r>
      <w:r>
        <w:t>(2012)</w:t>
      </w:r>
      <w:r w:rsidRPr="00806C9D">
        <w:rPr>
          <w:rFonts w:ascii="Arial" w:hAnsi="Arial" w:cs="Arial"/>
        </w:rPr>
        <w:t>.</w:t>
      </w:r>
    </w:p>
    <w:p w:rsidR="00CE08DE" w:rsidRDefault="00CE08DE" w:rsidP="000250C2"/>
    <w:p w:rsidR="009466C0" w:rsidRDefault="009466C0" w:rsidP="00CE08DE">
      <w:pPr>
        <w:pStyle w:val="Heading1"/>
        <w:spacing w:before="0"/>
      </w:pPr>
      <w:bookmarkStart w:id="3" w:name="_Toc401587721"/>
      <w:r>
        <w:t>How to have your say</w:t>
      </w:r>
      <w:bookmarkEnd w:id="3"/>
    </w:p>
    <w:p w:rsidR="00CE08DE" w:rsidRDefault="00CE08DE" w:rsidP="00CE08DE">
      <w:pPr>
        <w:spacing w:after="0"/>
      </w:pPr>
    </w:p>
    <w:p w:rsidR="009466C0" w:rsidRDefault="00C92F66" w:rsidP="00CE08DE">
      <w:pPr>
        <w:spacing w:after="0"/>
      </w:pPr>
      <w:r>
        <w:t xml:space="preserve">We are seeking feedback by </w:t>
      </w:r>
      <w:r w:rsidR="00DB736E" w:rsidRPr="00B15751">
        <w:rPr>
          <w:b/>
        </w:rPr>
        <w:t xml:space="preserve">27 February </w:t>
      </w:r>
      <w:r w:rsidR="0029498F" w:rsidRPr="00B15751">
        <w:rPr>
          <w:b/>
        </w:rPr>
        <w:t>2015</w:t>
      </w:r>
      <w:r w:rsidR="009466C0">
        <w:t xml:space="preserve">. </w:t>
      </w:r>
    </w:p>
    <w:p w:rsidR="009466C0" w:rsidRDefault="009466C0" w:rsidP="00CE08DE">
      <w:pPr>
        <w:spacing w:after="0" w:line="240" w:lineRule="auto"/>
        <w:rPr>
          <w:szCs w:val="24"/>
        </w:rPr>
      </w:pPr>
    </w:p>
    <w:p w:rsidR="009466C0" w:rsidRDefault="009466C0" w:rsidP="00CE08DE">
      <w:pPr>
        <w:spacing w:after="0" w:line="240" w:lineRule="auto"/>
        <w:rPr>
          <w:rFonts w:cs="Arial"/>
          <w:szCs w:val="24"/>
        </w:rPr>
      </w:pPr>
      <w:r w:rsidRPr="00277237">
        <w:rPr>
          <w:szCs w:val="24"/>
        </w:rPr>
        <w:t xml:space="preserve">To take part, please </w:t>
      </w:r>
      <w:r>
        <w:rPr>
          <w:szCs w:val="24"/>
        </w:rPr>
        <w:t xml:space="preserve">complete the submission form, which you can access </w:t>
      </w:r>
      <w:r w:rsidR="00C92F66">
        <w:rPr>
          <w:szCs w:val="24"/>
        </w:rPr>
        <w:t xml:space="preserve">on NEAC’s website </w:t>
      </w:r>
      <w:hyperlink r:id="rId12" w:history="1">
        <w:r w:rsidR="00C92F66" w:rsidRPr="00CF479C">
          <w:rPr>
            <w:rStyle w:val="Hyperlink"/>
          </w:rPr>
          <w:t>http://neac.health.govt.nz/consultations</w:t>
        </w:r>
      </w:hyperlink>
      <w:r>
        <w:rPr>
          <w:szCs w:val="24"/>
        </w:rPr>
        <w:t xml:space="preserve">. You can complete the submission form </w:t>
      </w:r>
      <w:r w:rsidRPr="00277237">
        <w:rPr>
          <w:szCs w:val="24"/>
        </w:rPr>
        <w:t xml:space="preserve">electronically and send by email to </w:t>
      </w:r>
      <w:hyperlink r:id="rId13" w:history="1">
        <w:r w:rsidRPr="00277237">
          <w:rPr>
            <w:rStyle w:val="Hyperlink"/>
            <w:rFonts w:cs="Arial"/>
          </w:rPr>
          <w:t>neac@moh.govt.nz</w:t>
        </w:r>
      </w:hyperlink>
      <w:r w:rsidRPr="00277237">
        <w:rPr>
          <w:rFonts w:cs="Arial"/>
          <w:szCs w:val="24"/>
        </w:rPr>
        <w:t xml:space="preserve"> or post a printed copy to us</w:t>
      </w:r>
      <w:r w:rsidR="00B15751">
        <w:rPr>
          <w:rFonts w:cs="Arial"/>
          <w:szCs w:val="24"/>
        </w:rPr>
        <w:t>:</w:t>
      </w:r>
    </w:p>
    <w:p w:rsidR="00B15751" w:rsidRDefault="00B15751" w:rsidP="00B15751">
      <w:pPr>
        <w:spacing w:after="0" w:line="240" w:lineRule="auto"/>
        <w:rPr>
          <w:rFonts w:cs="Arial"/>
          <w:szCs w:val="24"/>
        </w:rPr>
      </w:pPr>
    </w:p>
    <w:p w:rsidR="00B15751" w:rsidRDefault="00B15751" w:rsidP="00B15751">
      <w:pPr>
        <w:spacing w:after="60" w:line="240" w:lineRule="auto"/>
        <w:ind w:firstLine="720"/>
        <w:rPr>
          <w:rFonts w:cs="Arial"/>
          <w:szCs w:val="24"/>
        </w:rPr>
      </w:pPr>
      <w:r>
        <w:rPr>
          <w:rFonts w:cs="Arial"/>
          <w:szCs w:val="24"/>
        </w:rPr>
        <w:t>National Ethics Advisory Committee Secretariat</w:t>
      </w:r>
    </w:p>
    <w:p w:rsidR="00B15751" w:rsidRDefault="00B15751" w:rsidP="00B15751">
      <w:pPr>
        <w:spacing w:after="60" w:line="240" w:lineRule="auto"/>
        <w:ind w:firstLine="720"/>
        <w:rPr>
          <w:rFonts w:cs="Arial"/>
          <w:szCs w:val="24"/>
        </w:rPr>
      </w:pPr>
      <w:r>
        <w:rPr>
          <w:rFonts w:cs="Arial"/>
          <w:szCs w:val="24"/>
        </w:rPr>
        <w:t>PO Box 5013</w:t>
      </w:r>
    </w:p>
    <w:p w:rsidR="00B15751" w:rsidRPr="00083A42" w:rsidRDefault="00B15751" w:rsidP="00B15751">
      <w:pPr>
        <w:spacing w:after="60" w:line="240" w:lineRule="auto"/>
        <w:ind w:firstLine="720"/>
        <w:rPr>
          <w:szCs w:val="24"/>
        </w:rPr>
      </w:pPr>
      <w:r>
        <w:rPr>
          <w:rFonts w:cs="Arial"/>
          <w:szCs w:val="24"/>
        </w:rPr>
        <w:t>Wellington 6145</w:t>
      </w:r>
    </w:p>
    <w:p w:rsidR="00B15751" w:rsidRPr="003F414C" w:rsidRDefault="00B15751" w:rsidP="00B15751">
      <w:pPr>
        <w:spacing w:after="0" w:line="240" w:lineRule="auto"/>
        <w:rPr>
          <w:szCs w:val="24"/>
        </w:rPr>
      </w:pPr>
    </w:p>
    <w:p w:rsidR="009466C0" w:rsidRDefault="009466C0" w:rsidP="00CE08DE">
      <w:pPr>
        <w:spacing w:after="0" w:line="240" w:lineRule="auto"/>
        <w:rPr>
          <w:rFonts w:cs="Arial"/>
          <w:szCs w:val="24"/>
        </w:rPr>
      </w:pPr>
      <w:r w:rsidRPr="00277237">
        <w:rPr>
          <w:szCs w:val="24"/>
        </w:rPr>
        <w:t xml:space="preserve">If you have any questions, please contact us by email at </w:t>
      </w:r>
      <w:hyperlink r:id="rId14" w:history="1">
        <w:r w:rsidRPr="00277237">
          <w:rPr>
            <w:rStyle w:val="Hyperlink"/>
            <w:rFonts w:cs="Arial"/>
          </w:rPr>
          <w:t>neac@moh.govt.nz</w:t>
        </w:r>
      </w:hyperlink>
      <w:r w:rsidR="00D012EF">
        <w:rPr>
          <w:rFonts w:cs="Arial"/>
          <w:szCs w:val="24"/>
        </w:rPr>
        <w:t>.</w:t>
      </w:r>
      <w:r w:rsidRPr="00277237">
        <w:rPr>
          <w:rFonts w:cs="Arial"/>
          <w:szCs w:val="24"/>
        </w:rPr>
        <w:t xml:space="preserve"> </w:t>
      </w:r>
    </w:p>
    <w:p w:rsidR="009466C0" w:rsidRDefault="009466C0" w:rsidP="00CE08DE">
      <w:pPr>
        <w:spacing w:after="0" w:line="240" w:lineRule="auto"/>
        <w:rPr>
          <w:rFonts w:cs="Arial"/>
          <w:szCs w:val="24"/>
        </w:rPr>
      </w:pPr>
    </w:p>
    <w:p w:rsidR="009466C0" w:rsidRPr="00CC3E9A" w:rsidRDefault="009466C0" w:rsidP="00CE08DE">
      <w:pPr>
        <w:spacing w:after="0" w:line="240" w:lineRule="auto"/>
        <w:rPr>
          <w:rFonts w:cs="Arial"/>
          <w:szCs w:val="24"/>
        </w:rPr>
      </w:pPr>
      <w:r w:rsidRPr="000716C9">
        <w:t xml:space="preserve">Your feedback will be analysed </w:t>
      </w:r>
      <w:r>
        <w:t xml:space="preserve">and summarised by secretariat staff. The analysis of submissions will </w:t>
      </w:r>
      <w:r w:rsidR="00D012EF">
        <w:t xml:space="preserve">be considered by </w:t>
      </w:r>
      <w:r>
        <w:t xml:space="preserve">NEAC </w:t>
      </w:r>
      <w:r w:rsidR="00D012EF">
        <w:t xml:space="preserve">and assist </w:t>
      </w:r>
      <w:r w:rsidR="00CE08DE">
        <w:t>the committee</w:t>
      </w:r>
      <w:r w:rsidR="00D012EF">
        <w:t xml:space="preserve"> </w:t>
      </w:r>
      <w:r>
        <w:t xml:space="preserve">to </w:t>
      </w:r>
      <w:r w:rsidR="00B42774">
        <w:t>provide advice</w:t>
      </w:r>
      <w:r w:rsidRPr="00A62FD1">
        <w:t xml:space="preserve"> to the </w:t>
      </w:r>
      <w:r w:rsidR="001D3BE2">
        <w:t xml:space="preserve">Associate </w:t>
      </w:r>
      <w:r w:rsidRPr="00A62FD1">
        <w:t>Minister of Health</w:t>
      </w:r>
      <w:r>
        <w:t xml:space="preserve">. </w:t>
      </w:r>
    </w:p>
    <w:p w:rsidR="00F917BB" w:rsidRDefault="00F917BB">
      <w:pPr>
        <w:rPr>
          <w:rFonts w:asciiTheme="majorHAnsi" w:eastAsiaTheme="majorEastAsia" w:hAnsiTheme="majorHAnsi" w:cstheme="majorBidi"/>
          <w:b/>
          <w:bCs/>
          <w:color w:val="365F91" w:themeColor="accent1" w:themeShade="BF"/>
          <w:sz w:val="28"/>
          <w:szCs w:val="28"/>
        </w:rPr>
      </w:pPr>
      <w:r>
        <w:br w:type="page"/>
      </w:r>
    </w:p>
    <w:p w:rsidR="009466C0" w:rsidRDefault="009466C0" w:rsidP="00CE08DE">
      <w:pPr>
        <w:pStyle w:val="Heading1"/>
        <w:spacing w:before="0"/>
      </w:pPr>
      <w:bookmarkStart w:id="4" w:name="_Toc401587722"/>
      <w:r>
        <w:t>Definitions</w:t>
      </w:r>
      <w:bookmarkEnd w:id="4"/>
      <w:r>
        <w:t xml:space="preserve"> </w:t>
      </w:r>
    </w:p>
    <w:p w:rsidR="00F917BB" w:rsidRDefault="00F917BB" w:rsidP="00F917BB">
      <w:pPr>
        <w:spacing w:after="0" w:line="240" w:lineRule="auto"/>
      </w:pPr>
    </w:p>
    <w:p w:rsidR="009466C0" w:rsidRDefault="009466C0" w:rsidP="00CE08DE">
      <w:pPr>
        <w:pStyle w:val="Heading2"/>
        <w:spacing w:before="0"/>
      </w:pPr>
      <w:bookmarkStart w:id="5" w:name="_Toc401587723"/>
      <w:r>
        <w:t>What is health and disability research?</w:t>
      </w:r>
      <w:bookmarkEnd w:id="5"/>
    </w:p>
    <w:p w:rsidR="00CE08DE" w:rsidRDefault="00CE08DE" w:rsidP="00CE08DE">
      <w:pPr>
        <w:pStyle w:val="NEACbodypara"/>
        <w:spacing w:before="0"/>
        <w:rPr>
          <w:rFonts w:ascii="Arial" w:eastAsiaTheme="minorHAnsi" w:hAnsi="Arial" w:cstheme="minorBidi"/>
          <w:szCs w:val="22"/>
          <w:lang w:eastAsia="en-US"/>
        </w:rPr>
      </w:pPr>
    </w:p>
    <w:p w:rsidR="009466C0" w:rsidRDefault="009466C0" w:rsidP="00CE08DE">
      <w:pPr>
        <w:pStyle w:val="NEACbodypara"/>
        <w:spacing w:before="0"/>
      </w:pPr>
      <w:r w:rsidRPr="002B4A1A">
        <w:t xml:space="preserve">Health and disability </w:t>
      </w:r>
      <w:r>
        <w:t>research is research that aims to generate knowledge for the purpose of improving hea</w:t>
      </w:r>
      <w:r w:rsidR="00CE08DE">
        <w:t xml:space="preserve">lth and independence outcomes. </w:t>
      </w:r>
      <w:r>
        <w:t xml:space="preserve">There are two main types of health and disability research.  </w:t>
      </w:r>
    </w:p>
    <w:p w:rsidR="00CE08DE" w:rsidRDefault="00CE08DE" w:rsidP="00CE08DE">
      <w:pPr>
        <w:pStyle w:val="NEACbodypara"/>
        <w:spacing w:before="0"/>
      </w:pPr>
    </w:p>
    <w:p w:rsidR="009466C0" w:rsidRDefault="009466C0" w:rsidP="00CE08DE">
      <w:pPr>
        <w:pStyle w:val="NEACbodypara"/>
        <w:numPr>
          <w:ilvl w:val="0"/>
          <w:numId w:val="21"/>
        </w:numPr>
        <w:spacing w:before="0"/>
      </w:pPr>
      <w:r>
        <w:t xml:space="preserve">Observational studies: the researcher has no control over study variables and observes outcomes through recording, classifying, counting and analysing data </w:t>
      </w:r>
      <w:proofErr w:type="spellStart"/>
      <w:r>
        <w:t>eg</w:t>
      </w:r>
      <w:proofErr w:type="spellEnd"/>
      <w:r>
        <w:t>, cohort studies, audits</w:t>
      </w:r>
      <w:r w:rsidR="00CE08DE">
        <w:t>.</w:t>
      </w:r>
    </w:p>
    <w:p w:rsidR="00CE08DE" w:rsidRDefault="00CE08DE" w:rsidP="00CE08DE">
      <w:pPr>
        <w:pStyle w:val="NEACbodypara"/>
        <w:spacing w:before="0"/>
        <w:ind w:left="720"/>
      </w:pPr>
    </w:p>
    <w:p w:rsidR="009466C0" w:rsidRDefault="009466C0" w:rsidP="00CE08DE">
      <w:pPr>
        <w:pStyle w:val="NEACbodypara"/>
        <w:numPr>
          <w:ilvl w:val="0"/>
          <w:numId w:val="21"/>
        </w:numPr>
        <w:spacing w:before="0"/>
      </w:pPr>
      <w:r>
        <w:t xml:space="preserve">Intervention studies: the researcher controls </w:t>
      </w:r>
      <w:r w:rsidR="00D012EF">
        <w:t xml:space="preserve">the interventions provided to participants </w:t>
      </w:r>
      <w:r>
        <w:t>and studies the</w:t>
      </w:r>
      <w:r w:rsidR="00D012EF">
        <w:t xml:space="preserve"> outcomes of the</w:t>
      </w:r>
      <w:r>
        <w:t xml:space="preserve"> intervention(s) for the purpose of adding to knowledge of the health effects of the intervention(s) </w:t>
      </w:r>
      <w:proofErr w:type="spellStart"/>
      <w:r>
        <w:t>eg</w:t>
      </w:r>
      <w:proofErr w:type="spellEnd"/>
      <w:r>
        <w:t>, randomised control trials.</w:t>
      </w:r>
    </w:p>
    <w:p w:rsidR="00CE08DE" w:rsidRDefault="00CE08DE" w:rsidP="00CE08DE">
      <w:pPr>
        <w:pStyle w:val="NEACbodypara"/>
        <w:spacing w:before="0"/>
      </w:pPr>
    </w:p>
    <w:p w:rsidR="009466C0" w:rsidRDefault="009466C0" w:rsidP="00CE08DE">
      <w:pPr>
        <w:pStyle w:val="Heading2"/>
        <w:spacing w:before="0"/>
      </w:pPr>
      <w:bookmarkStart w:id="6" w:name="_Toc401587724"/>
      <w:r>
        <w:t xml:space="preserve">What </w:t>
      </w:r>
      <w:r w:rsidR="00D012EF">
        <w:t>is</w:t>
      </w:r>
      <w:r>
        <w:t xml:space="preserve"> research ethics?</w:t>
      </w:r>
      <w:bookmarkEnd w:id="6"/>
    </w:p>
    <w:p w:rsidR="00CE08DE" w:rsidRDefault="00CE08DE" w:rsidP="00CE08DE">
      <w:pPr>
        <w:pStyle w:val="NEACbodypara"/>
        <w:spacing w:before="0"/>
        <w:rPr>
          <w:rFonts w:ascii="Arial" w:eastAsiaTheme="minorHAnsi" w:hAnsi="Arial" w:cstheme="minorBidi"/>
          <w:szCs w:val="22"/>
          <w:lang w:eastAsia="en-US"/>
        </w:rPr>
      </w:pPr>
    </w:p>
    <w:p w:rsidR="009466C0" w:rsidRDefault="009466C0" w:rsidP="00CE08DE">
      <w:pPr>
        <w:pStyle w:val="NEACbodypara"/>
        <w:spacing w:before="0"/>
        <w:rPr>
          <w:lang w:val="en-GB"/>
        </w:rPr>
      </w:pPr>
      <w:r>
        <w:t xml:space="preserve">Health and disability </w:t>
      </w:r>
      <w:r w:rsidRPr="00212168">
        <w:t xml:space="preserve">research ethics </w:t>
      </w:r>
      <w:r w:rsidR="00D012EF">
        <w:t>is</w:t>
      </w:r>
      <w:r w:rsidRPr="0072321C">
        <w:rPr>
          <w:lang w:val="en-GB"/>
        </w:rPr>
        <w:t xml:space="preserve"> primarily </w:t>
      </w:r>
      <w:r>
        <w:rPr>
          <w:lang w:val="en-GB"/>
        </w:rPr>
        <w:t>concerned with</w:t>
      </w:r>
      <w:r w:rsidRPr="0072321C">
        <w:rPr>
          <w:lang w:val="en-GB"/>
        </w:rPr>
        <w:t xml:space="preserve">: </w:t>
      </w:r>
    </w:p>
    <w:p w:rsidR="00CE08DE" w:rsidRPr="0072321C" w:rsidRDefault="00CE08DE" w:rsidP="00CE08DE">
      <w:pPr>
        <w:pStyle w:val="NEACbodypara"/>
        <w:spacing w:before="0"/>
        <w:rPr>
          <w:sz w:val="18"/>
          <w:szCs w:val="18"/>
          <w:lang w:val="en-GB"/>
        </w:rPr>
      </w:pPr>
    </w:p>
    <w:p w:rsidR="009466C0" w:rsidRDefault="009466C0" w:rsidP="00CE08DE">
      <w:pPr>
        <w:pStyle w:val="NEACbodypara"/>
        <w:numPr>
          <w:ilvl w:val="0"/>
          <w:numId w:val="21"/>
        </w:numPr>
        <w:spacing w:before="0"/>
      </w:pPr>
      <w:r w:rsidRPr="008F01A2" w:rsidDel="00B56B95">
        <w:t xml:space="preserve">facilitating conduct of high quality studies that add to knowledge of </w:t>
      </w:r>
      <w:r w:rsidR="00E33DB7">
        <w:t xml:space="preserve">matters relating to </w:t>
      </w:r>
      <w:r w:rsidRPr="008F01A2" w:rsidDel="00B56B95">
        <w:t>health and/or disability</w:t>
      </w:r>
      <w:r>
        <w:t xml:space="preserve"> </w:t>
      </w:r>
    </w:p>
    <w:p w:rsidR="00CE08DE" w:rsidRPr="008F01A2" w:rsidDel="00B56B95" w:rsidRDefault="00CE08DE" w:rsidP="00CE08DE">
      <w:pPr>
        <w:pStyle w:val="NEACbodypara"/>
        <w:spacing w:before="0"/>
        <w:ind w:left="720"/>
      </w:pPr>
    </w:p>
    <w:p w:rsidR="009466C0" w:rsidRDefault="009466C0" w:rsidP="00CE08DE">
      <w:pPr>
        <w:pStyle w:val="NEACbodypara"/>
        <w:numPr>
          <w:ilvl w:val="0"/>
          <w:numId w:val="21"/>
        </w:numPr>
        <w:spacing w:before="0"/>
      </w:pPr>
      <w:r w:rsidRPr="008F01A2">
        <w:t>ensuring that all participants in research are aware of what their participation will involve and have given informed consent</w:t>
      </w:r>
    </w:p>
    <w:p w:rsidR="00CE08DE" w:rsidRPr="008F01A2" w:rsidRDefault="00CE08DE" w:rsidP="00CE08DE">
      <w:pPr>
        <w:pStyle w:val="NEACbodypara"/>
        <w:spacing w:before="0"/>
      </w:pPr>
    </w:p>
    <w:p w:rsidR="009466C0" w:rsidRDefault="009466C0" w:rsidP="00CE08DE">
      <w:pPr>
        <w:pStyle w:val="NEACbodypara"/>
        <w:numPr>
          <w:ilvl w:val="0"/>
          <w:numId w:val="21"/>
        </w:numPr>
        <w:spacing w:before="0"/>
      </w:pPr>
      <w:r w:rsidRPr="008F01A2">
        <w:t>preventing studies that pose an unacceptable risk of harm to participants from going ahead</w:t>
      </w:r>
      <w:r>
        <w:t>.</w:t>
      </w:r>
      <w:r w:rsidRPr="008F01A2">
        <w:t xml:space="preserve"> </w:t>
      </w:r>
    </w:p>
    <w:p w:rsidR="00CE08DE" w:rsidRDefault="00CE08DE" w:rsidP="00CE08DE">
      <w:pPr>
        <w:pStyle w:val="NEACbodypara"/>
        <w:spacing w:before="0"/>
      </w:pPr>
    </w:p>
    <w:p w:rsidR="009466C0" w:rsidRPr="00DA6ADD" w:rsidRDefault="009466C0" w:rsidP="00CE08DE">
      <w:pPr>
        <w:pStyle w:val="Heading2"/>
        <w:spacing w:before="0"/>
      </w:pPr>
      <w:bookmarkStart w:id="7" w:name="_Toc401587725"/>
      <w:r>
        <w:t xml:space="preserve">What are </w:t>
      </w:r>
      <w:r w:rsidRPr="00DA6ADD">
        <w:t xml:space="preserve">health and disability research ethics </w:t>
      </w:r>
      <w:r>
        <w:t>arrangements</w:t>
      </w:r>
      <w:r w:rsidRPr="00DA6ADD">
        <w:t>?</w:t>
      </w:r>
      <w:bookmarkEnd w:id="7"/>
    </w:p>
    <w:p w:rsidR="00CE08DE" w:rsidRDefault="00CE08DE" w:rsidP="00CE08DE">
      <w:pPr>
        <w:pStyle w:val="NEACbodypara"/>
        <w:spacing w:before="0"/>
      </w:pPr>
    </w:p>
    <w:p w:rsidR="009466C0" w:rsidRDefault="009466C0" w:rsidP="00CE08DE">
      <w:pPr>
        <w:pStyle w:val="NEACbodypara"/>
        <w:spacing w:before="0"/>
      </w:pPr>
      <w:r w:rsidRPr="00212168">
        <w:t xml:space="preserve">Health and disability research ethics </w:t>
      </w:r>
      <w:r>
        <w:t>arrangements</w:t>
      </w:r>
      <w:r w:rsidRPr="00212168">
        <w:t xml:space="preserve"> </w:t>
      </w:r>
      <w:r>
        <w:t>include:</w:t>
      </w:r>
    </w:p>
    <w:p w:rsidR="00CE08DE" w:rsidRDefault="00CE08DE" w:rsidP="00CE08DE">
      <w:pPr>
        <w:pStyle w:val="NEACbodypara"/>
        <w:spacing w:before="0"/>
      </w:pPr>
    </w:p>
    <w:p w:rsidR="009466C0" w:rsidRDefault="009466C0" w:rsidP="00CE08DE">
      <w:pPr>
        <w:pStyle w:val="NEACbodypara"/>
        <w:numPr>
          <w:ilvl w:val="0"/>
          <w:numId w:val="21"/>
        </w:numPr>
        <w:spacing w:before="0"/>
      </w:pPr>
      <w:r w:rsidRPr="00A62FD1">
        <w:t>responsibility for the ethical design, review, conduct and monitoring of health and disability research; and</w:t>
      </w:r>
    </w:p>
    <w:p w:rsidR="00CE08DE" w:rsidRPr="00A62FD1" w:rsidRDefault="00CE08DE" w:rsidP="00CE08DE">
      <w:pPr>
        <w:pStyle w:val="NEACbodypara"/>
        <w:spacing w:before="0"/>
        <w:ind w:left="720"/>
      </w:pPr>
    </w:p>
    <w:p w:rsidR="009466C0" w:rsidRDefault="009466C0" w:rsidP="00CE08DE">
      <w:pPr>
        <w:pStyle w:val="NEACbodypara"/>
        <w:numPr>
          <w:ilvl w:val="0"/>
          <w:numId w:val="21"/>
        </w:numPr>
        <w:spacing w:before="0"/>
      </w:pPr>
      <w:r w:rsidRPr="00A62FD1">
        <w:t>the standards, processes and structures to support and facilitate this</w:t>
      </w:r>
      <w:r>
        <w:t xml:space="preserve"> </w:t>
      </w:r>
      <w:r w:rsidRPr="00A62FD1">
        <w:t xml:space="preserve">responsibility.  </w:t>
      </w:r>
    </w:p>
    <w:p w:rsidR="00CE08DE" w:rsidRDefault="00CE08DE" w:rsidP="00CE08DE">
      <w:pPr>
        <w:pStyle w:val="NEACbodypara"/>
        <w:spacing w:before="0"/>
      </w:pPr>
    </w:p>
    <w:p w:rsidR="009466C0" w:rsidRPr="009D0BEF" w:rsidRDefault="009466C0" w:rsidP="00CE08DE">
      <w:pPr>
        <w:pStyle w:val="Heading2"/>
        <w:spacing w:before="0"/>
      </w:pPr>
      <w:bookmarkStart w:id="8" w:name="_Toc401587726"/>
      <w:r>
        <w:t>Responsibility for e</w:t>
      </w:r>
      <w:r w:rsidRPr="009D0BEF">
        <w:t>thical design, review</w:t>
      </w:r>
      <w:r>
        <w:t>, conduct and monitoring</w:t>
      </w:r>
      <w:bookmarkEnd w:id="8"/>
    </w:p>
    <w:p w:rsidR="00CE08DE" w:rsidRDefault="00CE08DE" w:rsidP="00CE08DE">
      <w:pPr>
        <w:pStyle w:val="NEACbodypara"/>
        <w:spacing w:before="0"/>
      </w:pPr>
    </w:p>
    <w:p w:rsidR="009466C0" w:rsidRDefault="009466C0" w:rsidP="00CE08DE">
      <w:pPr>
        <w:pStyle w:val="NEACbodypara"/>
        <w:spacing w:before="0"/>
        <w:rPr>
          <w:rFonts w:ascii="Arial" w:eastAsia="Calibri" w:hAnsi="Arial"/>
          <w:szCs w:val="22"/>
          <w:lang w:eastAsia="en-US"/>
        </w:rPr>
      </w:pPr>
      <w:r>
        <w:t>It is widely accepted that t</w:t>
      </w:r>
      <w:r w:rsidRPr="00212168">
        <w:t xml:space="preserve">he researcher has the </w:t>
      </w:r>
      <w:r w:rsidR="00E33DB7">
        <w:t>primary</w:t>
      </w:r>
      <w:r w:rsidRPr="00212168">
        <w:t xml:space="preserve"> responsibility for good design and conduct of research, including ensuring that it </w:t>
      </w:r>
      <w:r>
        <w:t>accords</w:t>
      </w:r>
      <w:r w:rsidRPr="00212168">
        <w:t xml:space="preserve"> with </w:t>
      </w:r>
      <w:r>
        <w:t>applicable eth</w:t>
      </w:r>
      <w:r w:rsidR="00CE08DE">
        <w:t xml:space="preserve">ical principles and standards. </w:t>
      </w:r>
      <w:r w:rsidR="001659C0" w:rsidRPr="00374D98">
        <w:t>Researchers are also responsible for communicating results in a timely, understandable and appropriate way.</w:t>
      </w:r>
      <w:r w:rsidR="001659C0">
        <w:t xml:space="preserve"> These </w:t>
      </w:r>
      <w:r>
        <w:t>responsibilit</w:t>
      </w:r>
      <w:r w:rsidR="001659C0">
        <w:t>ies are</w:t>
      </w:r>
      <w:r>
        <w:t xml:space="preserve"> shared with</w:t>
      </w:r>
      <w:r w:rsidR="00E33DB7">
        <w:t xml:space="preserve"> others including</w:t>
      </w:r>
      <w:r>
        <w:t xml:space="preserve"> </w:t>
      </w:r>
      <w:r w:rsidR="00E33DB7">
        <w:t xml:space="preserve">the host organisation, sponsors, </w:t>
      </w:r>
      <w:r>
        <w:t>ethics advisory and standard setting bodies</w:t>
      </w:r>
      <w:r w:rsidR="00E33DB7">
        <w:t>,</w:t>
      </w:r>
      <w:r>
        <w:t xml:space="preserve"> and ethics review committees.</w:t>
      </w:r>
      <w:r>
        <w:rPr>
          <w:rFonts w:ascii="Arial" w:eastAsia="Calibri" w:hAnsi="Arial"/>
          <w:szCs w:val="22"/>
          <w:lang w:eastAsia="en-US"/>
        </w:rPr>
        <w:t xml:space="preserve"> </w:t>
      </w:r>
    </w:p>
    <w:p w:rsidR="003E4505" w:rsidRDefault="00EA505A" w:rsidP="00CE08DE">
      <w:pPr>
        <w:pStyle w:val="NEACbodypara"/>
        <w:spacing w:before="0"/>
        <w:rPr>
          <w:rFonts w:ascii="Arial" w:eastAsia="Calibri" w:hAnsi="Arial"/>
          <w:szCs w:val="22"/>
          <w:lang w:eastAsia="en-US"/>
        </w:rPr>
      </w:pPr>
      <w:r>
        <w:rPr>
          <w:rFonts w:ascii="Arial" w:eastAsia="Calibri" w:hAnsi="Arial"/>
          <w:szCs w:val="22"/>
          <w:lang w:eastAsia="en-US"/>
        </w:rPr>
        <w:t xml:space="preserve">Similarly, the researcher and sponsor of </w:t>
      </w:r>
      <w:r w:rsidR="00FE7DAA">
        <w:rPr>
          <w:rFonts w:ascii="Arial" w:eastAsia="Calibri" w:hAnsi="Arial"/>
          <w:szCs w:val="22"/>
          <w:lang w:eastAsia="en-US"/>
        </w:rPr>
        <w:t>the research</w:t>
      </w:r>
      <w:r>
        <w:rPr>
          <w:rFonts w:ascii="Arial" w:eastAsia="Calibri" w:hAnsi="Arial"/>
          <w:szCs w:val="22"/>
          <w:lang w:eastAsia="en-US"/>
        </w:rPr>
        <w:t xml:space="preserve"> have primary responsibility for proactively monitoring the </w:t>
      </w:r>
      <w:r w:rsidR="00FE7DAA">
        <w:rPr>
          <w:rFonts w:ascii="Arial" w:eastAsia="Calibri" w:hAnsi="Arial"/>
          <w:szCs w:val="22"/>
          <w:lang w:eastAsia="en-US"/>
        </w:rPr>
        <w:t>research</w:t>
      </w:r>
      <w:r w:rsidR="00CE08DE">
        <w:rPr>
          <w:rFonts w:ascii="Arial" w:eastAsia="Calibri" w:hAnsi="Arial"/>
          <w:szCs w:val="22"/>
          <w:lang w:eastAsia="en-US"/>
        </w:rPr>
        <w:t xml:space="preserve">. </w:t>
      </w:r>
      <w:r>
        <w:rPr>
          <w:rFonts w:ascii="Arial" w:eastAsia="Calibri" w:hAnsi="Arial"/>
          <w:szCs w:val="22"/>
          <w:lang w:eastAsia="en-US"/>
        </w:rPr>
        <w:t xml:space="preserve">Ethics review committees play a </w:t>
      </w:r>
      <w:r w:rsidR="00FE7DAA">
        <w:rPr>
          <w:rFonts w:ascii="Arial" w:eastAsia="Calibri" w:hAnsi="Arial"/>
          <w:szCs w:val="22"/>
          <w:lang w:eastAsia="en-US"/>
        </w:rPr>
        <w:t xml:space="preserve">limited </w:t>
      </w:r>
      <w:r>
        <w:rPr>
          <w:rFonts w:ascii="Arial" w:eastAsia="Calibri" w:hAnsi="Arial"/>
          <w:szCs w:val="22"/>
          <w:lang w:eastAsia="en-US"/>
        </w:rPr>
        <w:t>role</w:t>
      </w:r>
      <w:r w:rsidR="00FE7DAA">
        <w:rPr>
          <w:rFonts w:ascii="Arial" w:eastAsia="Calibri" w:hAnsi="Arial"/>
          <w:szCs w:val="22"/>
          <w:lang w:eastAsia="en-US"/>
        </w:rPr>
        <w:t xml:space="preserve"> through reporting processes</w:t>
      </w:r>
      <w:r>
        <w:rPr>
          <w:rFonts w:ascii="Arial" w:eastAsia="Calibri" w:hAnsi="Arial"/>
          <w:szCs w:val="22"/>
          <w:lang w:eastAsia="en-US"/>
        </w:rPr>
        <w:t xml:space="preserve">.  </w:t>
      </w:r>
    </w:p>
    <w:p w:rsidR="00CE08DE" w:rsidRPr="00EA505A" w:rsidRDefault="00CE08DE" w:rsidP="00CE08DE">
      <w:pPr>
        <w:pStyle w:val="NEACbodypara"/>
        <w:spacing w:before="0"/>
        <w:rPr>
          <w:rFonts w:ascii="Arial" w:eastAsia="Calibri" w:hAnsi="Arial"/>
          <w:szCs w:val="22"/>
          <w:lang w:eastAsia="en-US"/>
        </w:rPr>
      </w:pPr>
    </w:p>
    <w:p w:rsidR="009466C0" w:rsidRPr="009D0BEF" w:rsidRDefault="009466C0" w:rsidP="00CE08DE">
      <w:pPr>
        <w:pStyle w:val="Heading2"/>
        <w:spacing w:before="0"/>
      </w:pPr>
      <w:bookmarkStart w:id="9" w:name="_Toc401587727"/>
      <w:r>
        <w:t>Standards, processes and structures</w:t>
      </w:r>
      <w:bookmarkEnd w:id="9"/>
    </w:p>
    <w:p w:rsidR="00CE08DE" w:rsidRDefault="00CE08DE" w:rsidP="00CE08DE">
      <w:pPr>
        <w:pStyle w:val="NEACbodypara"/>
        <w:spacing w:before="0"/>
      </w:pPr>
    </w:p>
    <w:p w:rsidR="009466C0" w:rsidRDefault="009466C0" w:rsidP="00CE08DE">
      <w:pPr>
        <w:pStyle w:val="NEACbodypara"/>
        <w:spacing w:before="0"/>
      </w:pPr>
      <w:r>
        <w:t>New Zealand’s ethics system includes the standards, processes and structures to support and facilitate this shared responsibility for good de</w:t>
      </w:r>
      <w:r w:rsidR="00CE08DE">
        <w:t xml:space="preserve">sign and conduct of research. </w:t>
      </w:r>
      <w:r>
        <w:t xml:space="preserve">These include:  </w:t>
      </w:r>
    </w:p>
    <w:p w:rsidR="00CE08DE" w:rsidRPr="003B38AD" w:rsidRDefault="00CE08DE" w:rsidP="00CE08DE">
      <w:pPr>
        <w:pStyle w:val="NEACbodypara"/>
        <w:spacing w:before="0"/>
        <w:rPr>
          <w:rFonts w:ascii="Arial" w:eastAsia="Calibri" w:hAnsi="Arial"/>
          <w:szCs w:val="22"/>
          <w:lang w:eastAsia="en-US"/>
        </w:rPr>
      </w:pPr>
    </w:p>
    <w:p w:rsidR="009466C0" w:rsidRDefault="009466C0" w:rsidP="00CE08DE">
      <w:pPr>
        <w:pStyle w:val="NEACbodypara"/>
        <w:numPr>
          <w:ilvl w:val="0"/>
          <w:numId w:val="21"/>
        </w:numPr>
        <w:spacing w:before="0"/>
      </w:pPr>
      <w:r>
        <w:t>ethics advisory and standard setting bodies</w:t>
      </w:r>
    </w:p>
    <w:p w:rsidR="00CE08DE" w:rsidRDefault="00CE08DE" w:rsidP="00CE08DE">
      <w:pPr>
        <w:pStyle w:val="NEACbodypara"/>
        <w:spacing w:before="0"/>
        <w:ind w:left="720"/>
      </w:pPr>
    </w:p>
    <w:p w:rsidR="009466C0" w:rsidRDefault="009466C0" w:rsidP="00CE08DE">
      <w:pPr>
        <w:pStyle w:val="NEACbodypara"/>
        <w:numPr>
          <w:ilvl w:val="0"/>
          <w:numId w:val="21"/>
        </w:numPr>
        <w:spacing w:before="0"/>
      </w:pPr>
      <w:r>
        <w:t>ethics review committees</w:t>
      </w:r>
    </w:p>
    <w:p w:rsidR="00CE08DE" w:rsidRDefault="00CE08DE" w:rsidP="00CE08DE">
      <w:pPr>
        <w:pStyle w:val="NEACbodypara"/>
        <w:spacing w:before="0"/>
      </w:pPr>
    </w:p>
    <w:p w:rsidR="009466C0" w:rsidRDefault="009466C0" w:rsidP="00CE08DE">
      <w:pPr>
        <w:pStyle w:val="NEACbodypara"/>
        <w:numPr>
          <w:ilvl w:val="0"/>
          <w:numId w:val="21"/>
        </w:numPr>
        <w:spacing w:before="0"/>
      </w:pPr>
      <w:r>
        <w:t>research funding processes</w:t>
      </w:r>
    </w:p>
    <w:p w:rsidR="00CE08DE" w:rsidRDefault="00CE08DE" w:rsidP="00CE08DE">
      <w:pPr>
        <w:pStyle w:val="NEACbodypara"/>
        <w:spacing w:before="0"/>
      </w:pPr>
    </w:p>
    <w:p w:rsidR="009466C0" w:rsidRDefault="009466C0" w:rsidP="00CE08DE">
      <w:pPr>
        <w:pStyle w:val="NEACbodypara"/>
        <w:numPr>
          <w:ilvl w:val="0"/>
          <w:numId w:val="21"/>
        </w:numPr>
        <w:spacing w:before="0"/>
      </w:pPr>
      <w:r>
        <w:t>legislation, regulations and codes</w:t>
      </w:r>
    </w:p>
    <w:p w:rsidR="00CE08DE" w:rsidRDefault="00CE08DE" w:rsidP="00CE08DE">
      <w:pPr>
        <w:pStyle w:val="NEACbodypara"/>
        <w:spacing w:before="0"/>
      </w:pPr>
    </w:p>
    <w:p w:rsidR="009466C0" w:rsidRDefault="009466C0" w:rsidP="00CE08DE">
      <w:pPr>
        <w:pStyle w:val="NEACbodypara"/>
        <w:numPr>
          <w:ilvl w:val="0"/>
          <w:numId w:val="21"/>
        </w:numPr>
        <w:spacing w:before="0"/>
      </w:pPr>
      <w:r>
        <w:t>health and disability research guidance</w:t>
      </w:r>
    </w:p>
    <w:p w:rsidR="00CE08DE" w:rsidRDefault="00CE08DE" w:rsidP="00CE08DE">
      <w:pPr>
        <w:pStyle w:val="NEACbodypara"/>
        <w:spacing w:before="0"/>
      </w:pPr>
    </w:p>
    <w:p w:rsidR="009466C0" w:rsidRDefault="009466C0" w:rsidP="00CE08DE">
      <w:pPr>
        <w:pStyle w:val="NEACbodypara"/>
        <w:numPr>
          <w:ilvl w:val="0"/>
          <w:numId w:val="21"/>
        </w:numPr>
        <w:spacing w:before="0"/>
      </w:pPr>
      <w:r>
        <w:t>codes of ethics.</w:t>
      </w:r>
    </w:p>
    <w:p w:rsidR="00CE08DE" w:rsidRDefault="00CE08DE" w:rsidP="00CE08DE">
      <w:pPr>
        <w:pStyle w:val="NEACbodypara"/>
        <w:spacing w:before="0"/>
        <w:ind w:left="720"/>
      </w:pPr>
    </w:p>
    <w:p w:rsidR="009466C0" w:rsidRDefault="009466C0" w:rsidP="00CE08DE">
      <w:pPr>
        <w:pStyle w:val="NEACbodypara"/>
        <w:spacing w:before="0"/>
        <w:rPr>
          <w:rFonts w:ascii="Arial" w:eastAsia="Calibri" w:hAnsi="Arial"/>
          <w:szCs w:val="22"/>
          <w:lang w:eastAsia="en-US"/>
        </w:rPr>
      </w:pPr>
      <w:r>
        <w:rPr>
          <w:rFonts w:ascii="Arial" w:eastAsia="Calibri" w:hAnsi="Arial"/>
          <w:szCs w:val="22"/>
          <w:lang w:eastAsia="en-US"/>
        </w:rPr>
        <w:t>A</w:t>
      </w:r>
      <w:r w:rsidRPr="00965735">
        <w:rPr>
          <w:rFonts w:ascii="Arial" w:eastAsia="Calibri" w:hAnsi="Arial"/>
          <w:szCs w:val="22"/>
          <w:lang w:eastAsia="en-US"/>
        </w:rPr>
        <w:t xml:space="preserve">ll researchers have a duty to comply with NEAC’s established ethical standards </w:t>
      </w:r>
      <w:r w:rsidRPr="00965735">
        <w:rPr>
          <w:rFonts w:ascii="Arial" w:eastAsia="Calibri" w:hAnsi="Arial"/>
          <w:i/>
          <w:szCs w:val="22"/>
          <w:lang w:eastAsia="en-US"/>
        </w:rPr>
        <w:t xml:space="preserve">Ethical Guidelines for Observational Studies </w:t>
      </w:r>
      <w:r w:rsidRPr="00F4205A">
        <w:rPr>
          <w:rFonts w:ascii="Arial" w:eastAsia="Calibri" w:hAnsi="Arial"/>
          <w:szCs w:val="22"/>
          <w:lang w:eastAsia="en-US"/>
        </w:rPr>
        <w:t xml:space="preserve">and </w:t>
      </w:r>
      <w:r w:rsidRPr="00965735">
        <w:rPr>
          <w:rFonts w:ascii="Arial" w:eastAsia="Calibri" w:hAnsi="Arial"/>
          <w:i/>
          <w:szCs w:val="22"/>
          <w:lang w:eastAsia="en-US"/>
        </w:rPr>
        <w:t>Ethical Guidelines for Intervention</w:t>
      </w:r>
      <w:r w:rsidRPr="00965735">
        <w:rPr>
          <w:rFonts w:ascii="Arial" w:eastAsia="Calibri" w:hAnsi="Arial"/>
          <w:szCs w:val="22"/>
          <w:lang w:eastAsia="en-US"/>
        </w:rPr>
        <w:t xml:space="preserve"> </w:t>
      </w:r>
      <w:r w:rsidRPr="00965735">
        <w:rPr>
          <w:rFonts w:ascii="Arial" w:eastAsia="Calibri" w:hAnsi="Arial"/>
          <w:i/>
          <w:szCs w:val="22"/>
          <w:lang w:eastAsia="en-US"/>
        </w:rPr>
        <w:t>Studies</w:t>
      </w:r>
      <w:r w:rsidRPr="00965735">
        <w:rPr>
          <w:rFonts w:ascii="Arial" w:eastAsia="Calibri" w:hAnsi="Arial"/>
          <w:szCs w:val="22"/>
          <w:lang w:eastAsia="en-US"/>
        </w:rPr>
        <w:t xml:space="preserve"> when conducting health and disability research in New Zealand. This is an explicit duty for all researchers submitting proposals for </w:t>
      </w:r>
      <w:r>
        <w:rPr>
          <w:rFonts w:ascii="Arial" w:eastAsia="Calibri" w:hAnsi="Arial"/>
          <w:szCs w:val="22"/>
          <w:lang w:eastAsia="en-US"/>
        </w:rPr>
        <w:t>Health and Disability Ethics Committee (</w:t>
      </w:r>
      <w:r w:rsidRPr="00965735">
        <w:rPr>
          <w:rFonts w:ascii="Arial" w:eastAsia="Calibri" w:hAnsi="Arial"/>
          <w:szCs w:val="22"/>
          <w:lang w:eastAsia="en-US"/>
        </w:rPr>
        <w:t>HDEC</w:t>
      </w:r>
      <w:r>
        <w:rPr>
          <w:rFonts w:ascii="Arial" w:eastAsia="Calibri" w:hAnsi="Arial"/>
          <w:szCs w:val="22"/>
          <w:lang w:eastAsia="en-US"/>
        </w:rPr>
        <w:t>)</w:t>
      </w:r>
      <w:r w:rsidRPr="00965735">
        <w:rPr>
          <w:rFonts w:ascii="Arial" w:eastAsia="Calibri" w:hAnsi="Arial"/>
          <w:szCs w:val="22"/>
          <w:lang w:eastAsia="en-US"/>
        </w:rPr>
        <w:t xml:space="preserve"> review.</w:t>
      </w:r>
    </w:p>
    <w:p w:rsidR="00CE08DE" w:rsidRDefault="00CE08DE" w:rsidP="00CE08DE">
      <w:pPr>
        <w:pStyle w:val="NEACbodypara"/>
        <w:spacing w:before="0"/>
        <w:rPr>
          <w:rFonts w:ascii="Arial" w:eastAsia="Calibri" w:hAnsi="Arial"/>
          <w:szCs w:val="22"/>
          <w:lang w:eastAsia="en-US"/>
        </w:rPr>
      </w:pPr>
    </w:p>
    <w:p w:rsidR="009466C0" w:rsidRPr="00CB522C" w:rsidRDefault="009466C0" w:rsidP="00CE08DE">
      <w:pPr>
        <w:pStyle w:val="Heading2"/>
        <w:spacing w:before="0"/>
      </w:pPr>
      <w:bookmarkStart w:id="10" w:name="_Toc401587728"/>
      <w:r w:rsidRPr="00CB522C">
        <w:t>New Zealand’s cross-</w:t>
      </w:r>
      <w:proofErr w:type="spellStart"/>
      <w:r w:rsidRPr="00CB522C">
        <w:t>sectoral</w:t>
      </w:r>
      <w:proofErr w:type="spellEnd"/>
      <w:r w:rsidRPr="00CB522C">
        <w:t xml:space="preserve"> research ethics </w:t>
      </w:r>
      <w:r>
        <w:t>arrangements</w:t>
      </w:r>
      <w:bookmarkEnd w:id="10"/>
    </w:p>
    <w:p w:rsidR="00CE08DE" w:rsidRDefault="00CE08DE" w:rsidP="00CE08DE">
      <w:pPr>
        <w:pStyle w:val="NEACbullet"/>
        <w:spacing w:before="0"/>
        <w:ind w:left="0" w:firstLine="0"/>
      </w:pPr>
    </w:p>
    <w:p w:rsidR="009466C0" w:rsidRDefault="009466C0" w:rsidP="00CE08DE">
      <w:pPr>
        <w:pStyle w:val="NEACbullet"/>
        <w:spacing w:before="0"/>
        <w:ind w:left="0" w:firstLine="0"/>
      </w:pPr>
      <w:r w:rsidRPr="008032A9">
        <w:t xml:space="preserve">New Zealand has a complex health and disability research ethics </w:t>
      </w:r>
      <w:r>
        <w:t>environment</w:t>
      </w:r>
      <w:r w:rsidRPr="008032A9">
        <w:t xml:space="preserve"> involving a range of organisations and stakeholders</w:t>
      </w:r>
      <w:r w:rsidR="00CE08DE">
        <w:t xml:space="preserve"> (see Figure 1). </w:t>
      </w:r>
      <w:r>
        <w:t xml:space="preserve">There </w:t>
      </w:r>
      <w:r>
        <w:rPr>
          <w:rFonts w:cs="Arial"/>
        </w:rPr>
        <w:t>are many parties involved including researchers, ethics committees, research funding and host organisations, and re</w:t>
      </w:r>
      <w:r w:rsidR="00CE08DE">
        <w:rPr>
          <w:rFonts w:cs="Arial"/>
        </w:rPr>
        <w:t xml:space="preserve">search sponsors. </w:t>
      </w:r>
      <w:r>
        <w:rPr>
          <w:rFonts w:cs="Arial"/>
        </w:rPr>
        <w:t xml:space="preserve">An array of standards, processes and structures support and facilitate the roles and responsibilities of these parties.  </w:t>
      </w:r>
    </w:p>
    <w:p w:rsidR="00334761" w:rsidRDefault="00334761" w:rsidP="00CB522C">
      <w:pPr>
        <w:pStyle w:val="NEACbullet"/>
        <w:tabs>
          <w:tab w:val="clear" w:pos="720"/>
        </w:tabs>
        <w:ind w:left="0" w:firstLine="0"/>
      </w:pPr>
    </w:p>
    <w:p w:rsidR="00F4205A" w:rsidRDefault="00F4205A" w:rsidP="00CB522C">
      <w:pPr>
        <w:pStyle w:val="NEACbullet"/>
        <w:tabs>
          <w:tab w:val="clear" w:pos="720"/>
        </w:tabs>
        <w:ind w:left="0" w:firstLine="0"/>
        <w:sectPr w:rsidR="00F4205A" w:rsidSect="008F3CAE">
          <w:footerReference w:type="default" r:id="rId15"/>
          <w:pgSz w:w="11906" w:h="16838"/>
          <w:pgMar w:top="1440" w:right="1440" w:bottom="1440" w:left="1440" w:header="708" w:footer="708" w:gutter="0"/>
          <w:pgNumType w:start="2"/>
          <w:cols w:space="708"/>
          <w:docGrid w:linePitch="360"/>
        </w:sectPr>
      </w:pPr>
    </w:p>
    <w:p w:rsidR="00824F03" w:rsidRPr="00824F03" w:rsidRDefault="00334761" w:rsidP="009D4230">
      <w:pPr>
        <w:pStyle w:val="TOC1"/>
        <w:rPr>
          <w:rFonts w:ascii="Arial Mäori" w:eastAsia="Times New Roman" w:hAnsi="Arial Mäori"/>
          <w:szCs w:val="24"/>
          <w:lang w:eastAsia="en-GB"/>
        </w:rPr>
      </w:pPr>
      <w:r w:rsidRPr="003B38AD">
        <w:t>Figure 1: An overview of New Zealand’s cross-</w:t>
      </w:r>
      <w:proofErr w:type="spellStart"/>
      <w:r w:rsidRPr="003B38AD">
        <w:t>sectoral</w:t>
      </w:r>
      <w:proofErr w:type="spellEnd"/>
      <w:r w:rsidRPr="003B38AD">
        <w:t xml:space="preserve"> research ethics landscape</w:t>
      </w:r>
      <w:r w:rsidR="004C06FC">
        <w:rPr>
          <w:rFonts w:ascii="Arial Mäori" w:eastAsia="Times New Roman" w:hAnsi="Arial Mäori"/>
          <w:szCs w:val="24"/>
          <w:lang w:eastAsia="en-GB"/>
        </w:rPr>
        <w:fldChar w:fldCharType="begin"/>
      </w:r>
      <w:r>
        <w:instrText xml:space="preserve"> TOC \h \z \t "Gov 1,1,Gov 2,2" </w:instrText>
      </w:r>
      <w:r w:rsidR="004C06FC">
        <w:rPr>
          <w:rFonts w:ascii="Arial Mäori" w:eastAsia="Times New Roman" w:hAnsi="Arial Mäori"/>
          <w:szCs w:val="24"/>
          <w:lang w:eastAsia="en-GB"/>
        </w:rPr>
        <w:fldChar w:fldCharType="separate"/>
      </w:r>
      <w:r w:rsidR="00824F03">
        <w:rPr>
          <w:rFonts w:ascii="Arial Mäori" w:eastAsia="Times New Roman" w:hAnsi="Arial Mäori"/>
          <w:szCs w:val="24"/>
          <w:lang w:eastAsia="en-GB"/>
        </w:rPr>
        <w:fldChar w:fldCharType="begin"/>
      </w:r>
      <w:r w:rsidR="00824F03">
        <w:instrText xml:space="preserve"> TOC \h \z \t "Gov 1,1,Gov 2,2" </w:instrText>
      </w:r>
      <w:r w:rsidR="00824F03">
        <w:rPr>
          <w:rFonts w:ascii="Arial Mäori" w:eastAsia="Times New Roman" w:hAnsi="Arial Mäori"/>
          <w:szCs w:val="24"/>
          <w:lang w:eastAsia="en-GB"/>
        </w:rPr>
        <w:fldChar w:fldCharType="separate"/>
      </w:r>
    </w:p>
    <w:p w:rsidR="00824F03" w:rsidRPr="003C384E" w:rsidRDefault="00824F03" w:rsidP="00824F03">
      <w:pPr>
        <w:rPr>
          <w:b/>
        </w:rPr>
      </w:pPr>
      <w:r>
        <w:rPr>
          <w:noProof/>
          <w:lang w:eastAsia="en-NZ"/>
        </w:rPr>
        <mc:AlternateContent>
          <mc:Choice Requires="wps">
            <w:drawing>
              <wp:anchor distT="0" distB="0" distL="114300" distR="114300" simplePos="0" relativeHeight="251672576" behindDoc="0" locked="0" layoutInCell="1" allowOverlap="1" wp14:anchorId="0D1729E1" wp14:editId="4CAE62F2">
                <wp:simplePos x="0" y="0"/>
                <wp:positionH relativeFrom="column">
                  <wp:posOffset>3228975</wp:posOffset>
                </wp:positionH>
                <wp:positionV relativeFrom="paragraph">
                  <wp:posOffset>194945</wp:posOffset>
                </wp:positionV>
                <wp:extent cx="2297430" cy="2181225"/>
                <wp:effectExtent l="0" t="0" r="2667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30" cy="2181225"/>
                        </a:xfrm>
                        <a:prstGeom prst="roundRect">
                          <a:avLst/>
                        </a:prstGeom>
                        <a:solidFill>
                          <a:schemeClr val="bg1"/>
                        </a:solidFill>
                        <a:ln w="19050" cap="flat" cmpd="sng" algn="ctr">
                          <a:solidFill>
                            <a:schemeClr val="tx1"/>
                          </a:solidFill>
                          <a:prstDash val="solid"/>
                        </a:ln>
                        <a:effectLst/>
                      </wps:spPr>
                      <wps:txbx>
                        <w:txbxContent>
                          <w:p w:rsidR="00824F03" w:rsidRPr="008032A9" w:rsidRDefault="00824F03" w:rsidP="00824F03">
                            <w:pPr>
                              <w:spacing w:after="120"/>
                              <w:jc w:val="center"/>
                              <w:rPr>
                                <w:rFonts w:cs="Arial"/>
                                <w:sz w:val="20"/>
                                <w:szCs w:val="20"/>
                              </w:rPr>
                            </w:pPr>
                            <w:r w:rsidRPr="008032A9">
                              <w:rPr>
                                <w:rFonts w:cs="Arial"/>
                                <w:b/>
                              </w:rPr>
                              <w:t>Bodies that undertake peer review/assess scientific validity</w:t>
                            </w:r>
                          </w:p>
                          <w:p w:rsidR="00824F03" w:rsidRPr="008032A9" w:rsidRDefault="00824F03" w:rsidP="00824F03">
                            <w:pPr>
                              <w:pStyle w:val="ListParagraph"/>
                              <w:numPr>
                                <w:ilvl w:val="0"/>
                                <w:numId w:val="10"/>
                              </w:numPr>
                              <w:spacing w:after="0" w:line="240" w:lineRule="auto"/>
                              <w:rPr>
                                <w:rFonts w:cs="Arial"/>
                                <w:sz w:val="22"/>
                              </w:rPr>
                            </w:pPr>
                            <w:r w:rsidRPr="008032A9">
                              <w:rPr>
                                <w:rFonts w:cs="Arial"/>
                                <w:sz w:val="22"/>
                              </w:rPr>
                              <w:t>HRCEC</w:t>
                            </w:r>
                          </w:p>
                          <w:p w:rsidR="00824F03" w:rsidRDefault="00824F03" w:rsidP="00824F03">
                            <w:pPr>
                              <w:pStyle w:val="ListParagraph"/>
                              <w:numPr>
                                <w:ilvl w:val="0"/>
                                <w:numId w:val="10"/>
                              </w:numPr>
                              <w:spacing w:after="0" w:line="240" w:lineRule="auto"/>
                              <w:rPr>
                                <w:rFonts w:cs="Arial"/>
                                <w:sz w:val="22"/>
                              </w:rPr>
                            </w:pPr>
                            <w:r w:rsidRPr="008032A9">
                              <w:rPr>
                                <w:rFonts w:cs="Arial"/>
                                <w:sz w:val="22"/>
                              </w:rPr>
                              <w:t>Universities</w:t>
                            </w:r>
                          </w:p>
                          <w:p w:rsidR="00824F03" w:rsidRPr="008032A9" w:rsidRDefault="00824F03" w:rsidP="00824F03">
                            <w:pPr>
                              <w:pStyle w:val="ListParagraph"/>
                              <w:numPr>
                                <w:ilvl w:val="0"/>
                                <w:numId w:val="10"/>
                              </w:numPr>
                              <w:spacing w:after="0" w:line="240" w:lineRule="auto"/>
                              <w:rPr>
                                <w:rFonts w:cs="Arial"/>
                                <w:sz w:val="22"/>
                              </w:rPr>
                            </w:pPr>
                            <w:r>
                              <w:rPr>
                                <w:rFonts w:cs="Arial"/>
                                <w:sz w:val="22"/>
                              </w:rPr>
                              <w:t>L</w:t>
                            </w:r>
                            <w:r w:rsidRPr="008032A9">
                              <w:rPr>
                                <w:rFonts w:cs="Arial"/>
                                <w:sz w:val="22"/>
                              </w:rPr>
                              <w:t>ocalit</w:t>
                            </w:r>
                            <w:r>
                              <w:rPr>
                                <w:rFonts w:cs="Arial"/>
                                <w:sz w:val="22"/>
                              </w:rPr>
                              <w:t>ies (organisations responsible for site of research)</w:t>
                            </w:r>
                          </w:p>
                          <w:p w:rsidR="00824F03" w:rsidRPr="008032A9" w:rsidRDefault="00824F03" w:rsidP="00824F03">
                            <w:pPr>
                              <w:pStyle w:val="ListParagraph"/>
                              <w:numPr>
                                <w:ilvl w:val="0"/>
                                <w:numId w:val="10"/>
                              </w:numPr>
                              <w:spacing w:after="0" w:line="240" w:lineRule="auto"/>
                              <w:rPr>
                                <w:rFonts w:cs="Arial"/>
                                <w:sz w:val="22"/>
                              </w:rPr>
                            </w:pPr>
                            <w:r w:rsidRPr="008032A9">
                              <w:rPr>
                                <w:rFonts w:cs="Arial"/>
                                <w:sz w:val="22"/>
                              </w:rPr>
                              <w:t>SCOTT</w:t>
                            </w:r>
                          </w:p>
                          <w:p w:rsidR="00824F03" w:rsidRPr="008032A9" w:rsidRDefault="00824F03" w:rsidP="00824F03">
                            <w:pPr>
                              <w:pStyle w:val="ListParagraph"/>
                              <w:numPr>
                                <w:ilvl w:val="0"/>
                                <w:numId w:val="10"/>
                              </w:numPr>
                              <w:spacing w:after="0" w:line="240" w:lineRule="auto"/>
                            </w:pPr>
                            <w:r w:rsidRPr="008032A9">
                              <w:rPr>
                                <w:rFonts w:cs="Arial"/>
                                <w:sz w:val="22"/>
                              </w:rPr>
                              <w:t>GTAC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254.25pt;margin-top:15.35pt;width:180.9pt;height:17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" fillcolor="white [3212]" strokecolor="black [3213]" strokeweight="1.5pt">
                <v:path arrowok="t"/>
                <v:textbox>
                  <w:txbxContent>
                    <w:p w:rsidR="00824F03" w:rsidRPr="008032A9" w:rsidRDefault="00824F03" w:rsidP="00824F03">
                      <w:pPr>
                        <w:spacing w:after="120"/>
                        <w:jc w:val="center"/>
                        <w:rPr>
                          <w:rFonts w:cs="Arial"/>
                          <w:sz w:val="20"/>
                          <w:szCs w:val="20"/>
                        </w:rPr>
                      </w:pPr>
                      <w:r w:rsidRPr="008032A9">
                        <w:rPr>
                          <w:rFonts w:cs="Arial"/>
                          <w:b/>
                        </w:rPr>
                        <w:t>Bodies that undertake peer review/assess scientific validity</w:t>
                      </w:r>
                    </w:p>
                    <w:p w:rsidR="00824F03" w:rsidRPr="008032A9" w:rsidRDefault="00824F03" w:rsidP="00824F03">
                      <w:pPr>
                        <w:pStyle w:val="ListParagraph"/>
                        <w:numPr>
                          <w:ilvl w:val="0"/>
                          <w:numId w:val="10"/>
                        </w:numPr>
                        <w:spacing w:after="0" w:line="240" w:lineRule="auto"/>
                        <w:rPr>
                          <w:rFonts w:cs="Arial"/>
                          <w:sz w:val="22"/>
                        </w:rPr>
                      </w:pPr>
                      <w:r w:rsidRPr="008032A9">
                        <w:rPr>
                          <w:rFonts w:cs="Arial"/>
                          <w:sz w:val="22"/>
                        </w:rPr>
                        <w:t>HRCEC</w:t>
                      </w:r>
                    </w:p>
                    <w:p w:rsidR="00824F03" w:rsidRDefault="00824F03" w:rsidP="00824F03">
                      <w:pPr>
                        <w:pStyle w:val="ListParagraph"/>
                        <w:numPr>
                          <w:ilvl w:val="0"/>
                          <w:numId w:val="10"/>
                        </w:numPr>
                        <w:spacing w:after="0" w:line="240" w:lineRule="auto"/>
                        <w:rPr>
                          <w:rFonts w:cs="Arial"/>
                          <w:sz w:val="22"/>
                        </w:rPr>
                      </w:pPr>
                      <w:r w:rsidRPr="008032A9">
                        <w:rPr>
                          <w:rFonts w:cs="Arial"/>
                          <w:sz w:val="22"/>
                        </w:rPr>
                        <w:t>Universities</w:t>
                      </w:r>
                    </w:p>
                    <w:p w:rsidR="00824F03" w:rsidRPr="008032A9" w:rsidRDefault="00824F03" w:rsidP="00824F03">
                      <w:pPr>
                        <w:pStyle w:val="ListParagraph"/>
                        <w:numPr>
                          <w:ilvl w:val="0"/>
                          <w:numId w:val="10"/>
                        </w:numPr>
                        <w:spacing w:after="0" w:line="240" w:lineRule="auto"/>
                        <w:rPr>
                          <w:rFonts w:cs="Arial"/>
                          <w:sz w:val="22"/>
                        </w:rPr>
                      </w:pPr>
                      <w:r>
                        <w:rPr>
                          <w:rFonts w:cs="Arial"/>
                          <w:sz w:val="22"/>
                        </w:rPr>
                        <w:t>L</w:t>
                      </w:r>
                      <w:r w:rsidRPr="008032A9">
                        <w:rPr>
                          <w:rFonts w:cs="Arial"/>
                          <w:sz w:val="22"/>
                        </w:rPr>
                        <w:t>ocalit</w:t>
                      </w:r>
                      <w:r>
                        <w:rPr>
                          <w:rFonts w:cs="Arial"/>
                          <w:sz w:val="22"/>
                        </w:rPr>
                        <w:t>ies (organisations responsible for site of research)</w:t>
                      </w:r>
                    </w:p>
                    <w:p w:rsidR="00824F03" w:rsidRPr="008032A9" w:rsidRDefault="00824F03" w:rsidP="00824F03">
                      <w:pPr>
                        <w:pStyle w:val="ListParagraph"/>
                        <w:numPr>
                          <w:ilvl w:val="0"/>
                          <w:numId w:val="10"/>
                        </w:numPr>
                        <w:spacing w:after="0" w:line="240" w:lineRule="auto"/>
                        <w:rPr>
                          <w:rFonts w:cs="Arial"/>
                          <w:sz w:val="22"/>
                        </w:rPr>
                      </w:pPr>
                      <w:r w:rsidRPr="008032A9">
                        <w:rPr>
                          <w:rFonts w:cs="Arial"/>
                          <w:sz w:val="22"/>
                        </w:rPr>
                        <w:t>SCOTT</w:t>
                      </w:r>
                    </w:p>
                    <w:p w:rsidR="00824F03" w:rsidRPr="008032A9" w:rsidRDefault="00824F03" w:rsidP="00824F03">
                      <w:pPr>
                        <w:pStyle w:val="ListParagraph"/>
                        <w:numPr>
                          <w:ilvl w:val="0"/>
                          <w:numId w:val="10"/>
                        </w:numPr>
                        <w:spacing w:after="0" w:line="240" w:lineRule="auto"/>
                      </w:pPr>
                      <w:r w:rsidRPr="008032A9">
                        <w:rPr>
                          <w:rFonts w:cs="Arial"/>
                          <w:sz w:val="22"/>
                        </w:rPr>
                        <w:t>GTAC</w:t>
                      </w:r>
                    </w:p>
                  </w:txbxContent>
                </v:textbox>
              </v:roundrect>
            </w:pict>
          </mc:Fallback>
        </mc:AlternateContent>
      </w:r>
      <w:r>
        <w:rPr>
          <w:noProof/>
          <w:lang w:eastAsia="en-NZ"/>
        </w:rPr>
        <mc:AlternateContent>
          <mc:Choice Requires="wps">
            <w:drawing>
              <wp:anchor distT="0" distB="0" distL="114300" distR="114300" simplePos="0" relativeHeight="251663360" behindDoc="0" locked="0" layoutInCell="1" allowOverlap="1" wp14:anchorId="5916BF52" wp14:editId="58B68BB9">
                <wp:simplePos x="0" y="0"/>
                <wp:positionH relativeFrom="column">
                  <wp:posOffset>8177530</wp:posOffset>
                </wp:positionH>
                <wp:positionV relativeFrom="paragraph">
                  <wp:posOffset>100965</wp:posOffset>
                </wp:positionV>
                <wp:extent cx="1367155" cy="1492250"/>
                <wp:effectExtent l="0" t="0" r="23495" b="1270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1492250"/>
                        </a:xfrm>
                        <a:prstGeom prst="roundRect">
                          <a:avLst/>
                        </a:prstGeom>
                        <a:solidFill>
                          <a:schemeClr val="bg1"/>
                        </a:solidFill>
                        <a:ln w="19050" cap="flat" cmpd="sng" algn="ctr">
                          <a:solidFill>
                            <a:schemeClr val="tx1"/>
                          </a:solidFill>
                          <a:prstDash val="solid"/>
                        </a:ln>
                        <a:effectLst/>
                      </wps:spPr>
                      <wps:txbx>
                        <w:txbxContent>
                          <w:p w:rsidR="00824F03" w:rsidRPr="008032A9" w:rsidRDefault="00824F03" w:rsidP="00824F03">
                            <w:pPr>
                              <w:spacing w:after="120"/>
                              <w:jc w:val="center"/>
                              <w:rPr>
                                <w:rFonts w:cs="Arial"/>
                                <w:sz w:val="20"/>
                                <w:szCs w:val="20"/>
                              </w:rPr>
                            </w:pPr>
                            <w:r w:rsidRPr="008032A9">
                              <w:rPr>
                                <w:rFonts w:cs="Arial"/>
                                <w:b/>
                              </w:rPr>
                              <w:t>Ethics review bodies</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HDECs</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IECs</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HRCEC</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ECART</w:t>
                            </w:r>
                          </w:p>
                          <w:p w:rsidR="00824F03" w:rsidRPr="008032A9" w:rsidRDefault="00824F03" w:rsidP="00824F03">
                            <w:pP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margin-left:643.9pt;margin-top:7.95pt;width:107.65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" fillcolor="white [3212]" strokecolor="black [3213]" strokeweight="1.5pt">
                <v:path arrowok="t"/>
                <v:textbox>
                  <w:txbxContent>
                    <w:p w:rsidR="00824F03" w:rsidRPr="008032A9" w:rsidRDefault="00824F03" w:rsidP="00824F03">
                      <w:pPr>
                        <w:spacing w:after="120"/>
                        <w:jc w:val="center"/>
                        <w:rPr>
                          <w:rFonts w:cs="Arial"/>
                          <w:sz w:val="20"/>
                          <w:szCs w:val="20"/>
                        </w:rPr>
                      </w:pPr>
                      <w:r w:rsidRPr="008032A9">
                        <w:rPr>
                          <w:rFonts w:cs="Arial"/>
                          <w:b/>
                        </w:rPr>
                        <w:t>Ethics review bodies</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HDECs</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IECs</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HRCEC</w:t>
                      </w:r>
                    </w:p>
                    <w:p w:rsidR="00824F03" w:rsidRPr="008032A9" w:rsidRDefault="00824F03" w:rsidP="00824F03">
                      <w:pPr>
                        <w:pStyle w:val="ListParagraph"/>
                        <w:numPr>
                          <w:ilvl w:val="0"/>
                          <w:numId w:val="9"/>
                        </w:numPr>
                        <w:spacing w:after="0" w:line="240" w:lineRule="auto"/>
                        <w:rPr>
                          <w:rFonts w:cs="Arial"/>
                          <w:sz w:val="22"/>
                        </w:rPr>
                      </w:pPr>
                      <w:r w:rsidRPr="008032A9">
                        <w:rPr>
                          <w:rFonts w:cs="Arial"/>
                          <w:sz w:val="22"/>
                        </w:rPr>
                        <w:t>ECART</w:t>
                      </w:r>
                    </w:p>
                    <w:p w:rsidR="00824F03" w:rsidRPr="008032A9" w:rsidRDefault="00824F03" w:rsidP="00824F03">
                      <w:pPr>
                        <w:rPr>
                          <w:rFonts w:cs="Arial"/>
                        </w:rPr>
                      </w:pPr>
                    </w:p>
                  </w:txbxContent>
                </v:textbox>
              </v:roundrect>
            </w:pict>
          </mc:Fallback>
        </mc:AlternateContent>
      </w:r>
      <w:r>
        <w:rPr>
          <w:noProof/>
          <w:lang w:eastAsia="en-NZ"/>
        </w:rPr>
        <mc:AlternateContent>
          <mc:Choice Requires="wps">
            <w:drawing>
              <wp:anchor distT="4294967295" distB="4294967295" distL="114300" distR="114300" simplePos="0" relativeHeight="251669504" behindDoc="0" locked="0" layoutInCell="1" allowOverlap="1" wp14:anchorId="6E1B175D" wp14:editId="205C3EDA">
                <wp:simplePos x="0" y="0"/>
                <wp:positionH relativeFrom="column">
                  <wp:posOffset>1208405</wp:posOffset>
                </wp:positionH>
                <wp:positionV relativeFrom="paragraph">
                  <wp:posOffset>66674</wp:posOffset>
                </wp:positionV>
                <wp:extent cx="6535420" cy="0"/>
                <wp:effectExtent l="38100" t="76200" r="17780"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5420" cy="0"/>
                        </a:xfrm>
                        <a:prstGeom prst="straightConnector1">
                          <a:avLst/>
                        </a:prstGeom>
                        <a:noFill/>
                        <a:ln w="19050" cap="flat" cmpd="sng" algn="ctr">
                          <a:solidFill>
                            <a:sysClr val="windowText" lastClr="000000"/>
                          </a:solidFill>
                          <a:prstDash val="sysDash"/>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95.15pt;margin-top:5.25pt;width:514.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" strokecolor="windowText" strokeweight="1.5pt">
                <v:stroke dashstyle="3 1" startarrow="open" endarrow="open"/>
                <o:lock v:ext="edit" shapetype="f"/>
              </v:shape>
            </w:pict>
          </mc:Fallback>
        </mc:AlternateContent>
      </w:r>
      <w:r>
        <w:rPr>
          <w:noProof/>
          <w:lang w:eastAsia="en-NZ"/>
        </w:rPr>
        <mc:AlternateContent>
          <mc:Choice Requires="wps">
            <w:drawing>
              <wp:anchor distT="0" distB="0" distL="114300" distR="114300" simplePos="0" relativeHeight="251661312" behindDoc="0" locked="0" layoutInCell="1" allowOverlap="1" wp14:anchorId="0DE3F29C" wp14:editId="7CDF1419">
                <wp:simplePos x="0" y="0"/>
                <wp:positionH relativeFrom="column">
                  <wp:posOffset>-596265</wp:posOffset>
                </wp:positionH>
                <wp:positionV relativeFrom="paragraph">
                  <wp:posOffset>97790</wp:posOffset>
                </wp:positionV>
                <wp:extent cx="1741170" cy="2122805"/>
                <wp:effectExtent l="0" t="0" r="11430" b="107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170" cy="2122805"/>
                        </a:xfrm>
                        <a:prstGeom prst="roundRect">
                          <a:avLst>
                            <a:gd name="adj" fmla="val 16194"/>
                          </a:avLst>
                        </a:prstGeom>
                        <a:solidFill>
                          <a:schemeClr val="bg1"/>
                        </a:solidFill>
                        <a:ln w="19050" cap="flat" cmpd="sng" algn="ctr">
                          <a:solidFill>
                            <a:schemeClr val="tx1"/>
                          </a:solidFill>
                          <a:prstDash val="solid"/>
                        </a:ln>
                        <a:effectLst/>
                      </wps:spPr>
                      <wps:txbx>
                        <w:txbxContent>
                          <w:p w:rsidR="00824F03" w:rsidRPr="008032A9" w:rsidRDefault="00824F03" w:rsidP="00824F03">
                            <w:pPr>
                              <w:spacing w:after="120"/>
                              <w:jc w:val="center"/>
                              <w:rPr>
                                <w:rFonts w:cs="Arial"/>
                                <w:sz w:val="20"/>
                                <w:szCs w:val="20"/>
                              </w:rPr>
                            </w:pPr>
                            <w:r w:rsidRPr="008032A9">
                              <w:rPr>
                                <w:rFonts w:cs="Arial"/>
                                <w:b/>
                              </w:rPr>
                              <w:t>Ethics advisory bodies</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HRC</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NEAC</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ACART</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 xml:space="preserve">Royal colleges </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HDC</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Ministry of Health</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Health regulatory bodies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46.95pt;margin-top:7.7pt;width:137.1pt;height:1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6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" fillcolor="white [3212]" strokecolor="black [3213]" strokeweight="1.5pt">
                <v:path arrowok="t"/>
                <v:textbox>
                  <w:txbxContent>
                    <w:p w:rsidR="00824F03" w:rsidRPr="008032A9" w:rsidRDefault="00824F03" w:rsidP="00824F03">
                      <w:pPr>
                        <w:spacing w:after="120"/>
                        <w:jc w:val="center"/>
                        <w:rPr>
                          <w:rFonts w:cs="Arial"/>
                          <w:sz w:val="20"/>
                          <w:szCs w:val="20"/>
                        </w:rPr>
                      </w:pPr>
                      <w:r w:rsidRPr="008032A9">
                        <w:rPr>
                          <w:rFonts w:cs="Arial"/>
                          <w:b/>
                        </w:rPr>
                        <w:t>Ethics advisory bodies</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HRC</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NEAC</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ACART</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 xml:space="preserve">Royal colleges </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HDC</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Ministry of Health</w:t>
                      </w:r>
                    </w:p>
                    <w:p w:rsidR="00824F03" w:rsidRPr="008032A9" w:rsidRDefault="00824F03" w:rsidP="00824F03">
                      <w:pPr>
                        <w:pStyle w:val="ListParagraph"/>
                        <w:numPr>
                          <w:ilvl w:val="0"/>
                          <w:numId w:val="8"/>
                        </w:numPr>
                        <w:spacing w:after="0" w:line="240" w:lineRule="auto"/>
                        <w:rPr>
                          <w:rFonts w:cs="Arial"/>
                          <w:sz w:val="22"/>
                        </w:rPr>
                      </w:pPr>
                      <w:r w:rsidRPr="008032A9">
                        <w:rPr>
                          <w:rFonts w:cs="Arial"/>
                          <w:sz w:val="22"/>
                        </w:rPr>
                        <w:t>Health regulatory bodies</w:t>
                      </w:r>
                    </w:p>
                  </w:txbxContent>
                </v:textbox>
              </v:roundrect>
            </w:pict>
          </mc:Fallback>
        </mc:AlternateContent>
      </w:r>
    </w:p>
    <w:p w:rsidR="00824F03" w:rsidRPr="003C384E" w:rsidRDefault="00824F03" w:rsidP="00824F03">
      <w:pPr>
        <w:rPr>
          <w:b/>
        </w:rPr>
      </w:pPr>
      <w:r>
        <w:rPr>
          <w:noProof/>
          <w:lang w:eastAsia="en-NZ"/>
        </w:rPr>
        <mc:AlternateContent>
          <mc:Choice Requires="wps">
            <w:drawing>
              <wp:anchor distT="0" distB="0" distL="114300" distR="114300" simplePos="0" relativeHeight="251674624" behindDoc="0" locked="0" layoutInCell="1" allowOverlap="1" wp14:anchorId="15130396" wp14:editId="157D58C0">
                <wp:simplePos x="0" y="0"/>
                <wp:positionH relativeFrom="column">
                  <wp:posOffset>5734050</wp:posOffset>
                </wp:positionH>
                <wp:positionV relativeFrom="paragraph">
                  <wp:posOffset>275590</wp:posOffset>
                </wp:positionV>
                <wp:extent cx="1939925" cy="1219200"/>
                <wp:effectExtent l="0" t="0" r="2222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1219200"/>
                        </a:xfrm>
                        <a:prstGeom prst="rect">
                          <a:avLst/>
                        </a:prstGeom>
                        <a:solidFill>
                          <a:schemeClr val="bg1"/>
                        </a:solidFill>
                        <a:ln w="19050">
                          <a:solidFill>
                            <a:schemeClr val="tx1"/>
                          </a:solidFill>
                          <a:miter lim="800000"/>
                          <a:headEnd/>
                          <a:tailEnd/>
                        </a:ln>
                      </wps:spPr>
                      <wps:txbx>
                        <w:txbxContent>
                          <w:p w:rsidR="00824F03" w:rsidRPr="008032A9" w:rsidRDefault="00824F03" w:rsidP="00824F03">
                            <w:pPr>
                              <w:spacing w:after="120"/>
                              <w:rPr>
                                <w:b/>
                                <w:sz w:val="22"/>
                              </w:rPr>
                            </w:pPr>
                            <w:r w:rsidRPr="008032A9">
                              <w:rPr>
                                <w:b/>
                                <w:sz w:val="22"/>
                              </w:rPr>
                              <w:t>Other Ethics Committees</w:t>
                            </w:r>
                          </w:p>
                          <w:p w:rsidR="00824F03" w:rsidRPr="008032A9" w:rsidRDefault="00824F03" w:rsidP="00824F03">
                            <w:pPr>
                              <w:numPr>
                                <w:ilvl w:val="0"/>
                                <w:numId w:val="7"/>
                              </w:numPr>
                              <w:spacing w:after="0" w:line="240" w:lineRule="auto"/>
                              <w:ind w:left="360"/>
                              <w:rPr>
                                <w:sz w:val="22"/>
                              </w:rPr>
                            </w:pPr>
                            <w:r w:rsidRPr="008032A9">
                              <w:rPr>
                                <w:sz w:val="22"/>
                              </w:rPr>
                              <w:t>Plunket</w:t>
                            </w:r>
                          </w:p>
                          <w:p w:rsidR="00824F03" w:rsidRDefault="00824F03" w:rsidP="00824F03">
                            <w:pPr>
                              <w:numPr>
                                <w:ilvl w:val="0"/>
                                <w:numId w:val="7"/>
                              </w:numPr>
                              <w:spacing w:after="0" w:line="240" w:lineRule="auto"/>
                              <w:ind w:left="360"/>
                              <w:rPr>
                                <w:sz w:val="22"/>
                              </w:rPr>
                            </w:pPr>
                            <w:r w:rsidRPr="008032A9">
                              <w:rPr>
                                <w:sz w:val="22"/>
                              </w:rPr>
                              <w:t>ACC</w:t>
                            </w:r>
                          </w:p>
                          <w:p w:rsidR="00824F03" w:rsidRDefault="00824F03" w:rsidP="00824F03">
                            <w:pPr>
                              <w:numPr>
                                <w:ilvl w:val="0"/>
                                <w:numId w:val="7"/>
                              </w:numPr>
                              <w:spacing w:after="0" w:line="240" w:lineRule="auto"/>
                              <w:ind w:left="360"/>
                              <w:rPr>
                                <w:sz w:val="22"/>
                              </w:rPr>
                            </w:pPr>
                            <w:r>
                              <w:rPr>
                                <w:sz w:val="22"/>
                              </w:rPr>
                              <w:t>New Zealand Ethics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51.5pt;margin-top:21.7pt;width:152.75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" fillcolor="white [3212]" strokecolor="black [3213]" strokeweight="1.5pt">
                <v:textbox>
                  <w:txbxContent>
                    <w:p w:rsidR="00824F03" w:rsidRPr="008032A9" w:rsidRDefault="00824F03" w:rsidP="00824F03">
                      <w:pPr>
                        <w:spacing w:after="120"/>
                        <w:rPr>
                          <w:b/>
                          <w:sz w:val="22"/>
                        </w:rPr>
                      </w:pPr>
                      <w:r w:rsidRPr="008032A9">
                        <w:rPr>
                          <w:b/>
                          <w:sz w:val="22"/>
                        </w:rPr>
                        <w:t>Other Ethics Committees</w:t>
                      </w:r>
                    </w:p>
                    <w:p w:rsidR="00824F03" w:rsidRPr="008032A9" w:rsidRDefault="00824F03" w:rsidP="00824F03">
                      <w:pPr>
                        <w:numPr>
                          <w:ilvl w:val="0"/>
                          <w:numId w:val="7"/>
                        </w:numPr>
                        <w:spacing w:after="0" w:line="240" w:lineRule="auto"/>
                        <w:ind w:left="360"/>
                        <w:rPr>
                          <w:sz w:val="22"/>
                        </w:rPr>
                      </w:pPr>
                      <w:r w:rsidRPr="008032A9">
                        <w:rPr>
                          <w:sz w:val="22"/>
                        </w:rPr>
                        <w:t>Plunket</w:t>
                      </w:r>
                    </w:p>
                    <w:p w:rsidR="00824F03" w:rsidRDefault="00824F03" w:rsidP="00824F03">
                      <w:pPr>
                        <w:numPr>
                          <w:ilvl w:val="0"/>
                          <w:numId w:val="7"/>
                        </w:numPr>
                        <w:spacing w:after="0" w:line="240" w:lineRule="auto"/>
                        <w:ind w:left="360"/>
                        <w:rPr>
                          <w:sz w:val="22"/>
                        </w:rPr>
                      </w:pPr>
                      <w:r w:rsidRPr="008032A9">
                        <w:rPr>
                          <w:sz w:val="22"/>
                        </w:rPr>
                        <w:t>ACC</w:t>
                      </w:r>
                    </w:p>
                    <w:p w:rsidR="00824F03" w:rsidRDefault="00824F03" w:rsidP="00824F03">
                      <w:pPr>
                        <w:numPr>
                          <w:ilvl w:val="0"/>
                          <w:numId w:val="7"/>
                        </w:numPr>
                        <w:spacing w:after="0" w:line="240" w:lineRule="auto"/>
                        <w:ind w:left="360"/>
                        <w:rPr>
                          <w:sz w:val="22"/>
                        </w:rPr>
                      </w:pPr>
                      <w:r>
                        <w:rPr>
                          <w:sz w:val="22"/>
                        </w:rPr>
                        <w:t>New Zealand Ethics Committee</w:t>
                      </w:r>
                    </w:p>
                  </w:txbxContent>
                </v:textbox>
              </v:rect>
            </w:pict>
          </mc:Fallback>
        </mc:AlternateContent>
      </w:r>
      <w:r>
        <w:rPr>
          <w:noProof/>
          <w:lang w:eastAsia="en-NZ"/>
        </w:rPr>
        <mc:AlternateContent>
          <mc:Choice Requires="wps">
            <w:drawing>
              <wp:anchor distT="4294967294" distB="4294967294" distL="114300" distR="114300" simplePos="0" relativeHeight="251670528" behindDoc="0" locked="0" layoutInCell="1" allowOverlap="1" wp14:anchorId="04C28DA1" wp14:editId="36BFFEBB">
                <wp:simplePos x="0" y="0"/>
                <wp:positionH relativeFrom="column">
                  <wp:posOffset>5534025</wp:posOffset>
                </wp:positionH>
                <wp:positionV relativeFrom="paragraph">
                  <wp:posOffset>143509</wp:posOffset>
                </wp:positionV>
                <wp:extent cx="2639695" cy="0"/>
                <wp:effectExtent l="0" t="76200" r="27305"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969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0" o:spid="_x0000_s1026" type="#_x0000_t32" style="position:absolute;margin-left:435.75pt;margin-top:11.3pt;width:207.8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" strokecolor="windowText" strokeweight="1.5pt">
                <v:stroke endarrow="open"/>
                <o:lock v:ext="edit" shapetype="f"/>
              </v:shape>
            </w:pict>
          </mc:Fallback>
        </mc:AlternateContent>
      </w:r>
      <w:r>
        <w:rPr>
          <w:noProof/>
          <w:lang w:eastAsia="en-NZ"/>
        </w:rPr>
        <mc:AlternateContent>
          <mc:Choice Requires="wps">
            <w:drawing>
              <wp:anchor distT="4294967295" distB="4294967295" distL="114300" distR="114300" simplePos="0" relativeHeight="251671552" behindDoc="0" locked="0" layoutInCell="1" allowOverlap="1" wp14:anchorId="7E9C09F9" wp14:editId="43377E95">
                <wp:simplePos x="0" y="0"/>
                <wp:positionH relativeFrom="column">
                  <wp:posOffset>1144905</wp:posOffset>
                </wp:positionH>
                <wp:positionV relativeFrom="paragraph">
                  <wp:posOffset>143509</wp:posOffset>
                </wp:positionV>
                <wp:extent cx="2091055" cy="0"/>
                <wp:effectExtent l="0" t="76200" r="23495" b="1143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19050" algn="ctr">
                          <a:solidFill>
                            <a:srgbClr val="000000"/>
                          </a:solidFill>
                          <a:round/>
                          <a:headEnd/>
                          <a:tailEnd type="arrow" w="med" len="me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0.15pt;margin-top:11.3pt;width:164.6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" strokeweight="1.5pt">
                <v:stroke endarrow="open"/>
              </v:shape>
            </w:pict>
          </mc:Fallback>
        </mc:AlternateContent>
      </w:r>
    </w:p>
    <w:p w:rsidR="00824F03" w:rsidRPr="003C384E" w:rsidRDefault="00824F03" w:rsidP="00824F03">
      <w:pPr>
        <w:rPr>
          <w:b/>
        </w:rPr>
      </w:pPr>
    </w:p>
    <w:p w:rsidR="00824F03" w:rsidRPr="003C384E" w:rsidRDefault="00824F03" w:rsidP="00824F03">
      <w:pPr>
        <w:tabs>
          <w:tab w:val="left" w:pos="4673"/>
        </w:tabs>
        <w:rPr>
          <w:b/>
        </w:rPr>
      </w:pPr>
    </w:p>
    <w:p w:rsidR="00824F03" w:rsidRDefault="00824F03" w:rsidP="009D4230">
      <w:pPr>
        <w:pStyle w:val="TOC1"/>
        <w:rPr>
          <w:rFonts w:ascii="Arial Mäori" w:eastAsia="Times New Roman" w:hAnsi="Arial Mäori"/>
          <w:szCs w:val="24"/>
          <w:lang w:eastAsia="en-GB"/>
        </w:rPr>
      </w:pPr>
      <w:r>
        <w:rPr>
          <w:noProof/>
          <w:lang w:eastAsia="en-NZ"/>
        </w:rPr>
        <mc:AlternateContent>
          <mc:Choice Requires="wps">
            <w:drawing>
              <wp:anchor distT="0" distB="0" distL="114300" distR="114300" simplePos="0" relativeHeight="251675648" behindDoc="0" locked="0" layoutInCell="1" allowOverlap="1" wp14:anchorId="42FFEDF9" wp14:editId="6F594D1C">
                <wp:simplePos x="0" y="0"/>
                <wp:positionH relativeFrom="column">
                  <wp:posOffset>447675</wp:posOffset>
                </wp:positionH>
                <wp:positionV relativeFrom="paragraph">
                  <wp:posOffset>3871595</wp:posOffset>
                </wp:positionV>
                <wp:extent cx="8177530" cy="1314450"/>
                <wp:effectExtent l="0" t="0" r="1397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77530" cy="1314450"/>
                        </a:xfrm>
                        <a:prstGeom prst="roundRect">
                          <a:avLst>
                            <a:gd name="adj" fmla="val 15319"/>
                          </a:avLst>
                        </a:prstGeom>
                        <a:solidFill>
                          <a:schemeClr val="bg1"/>
                        </a:solidFill>
                        <a:ln w="9525" cap="flat" cmpd="sng" algn="ctr">
                          <a:solidFill>
                            <a:schemeClr val="tx1"/>
                          </a:solidFill>
                          <a:prstDash val="solid"/>
                        </a:ln>
                        <a:effectLst/>
                      </wps:spPr>
                      <wps:txbx>
                        <w:txbxContent>
                          <w:p w:rsidR="00824F03" w:rsidRPr="005A7CC7" w:rsidRDefault="00824F03" w:rsidP="00824F03">
                            <w:pPr>
                              <w:tabs>
                                <w:tab w:val="left" w:pos="8222"/>
                              </w:tabs>
                              <w:spacing w:after="80" w:line="240" w:lineRule="auto"/>
                              <w:rPr>
                                <w:rFonts w:cs="Arial"/>
                                <w:b/>
                                <w:sz w:val="18"/>
                              </w:rPr>
                            </w:pPr>
                            <w:r w:rsidRPr="005A7CC7">
                              <w:rPr>
                                <w:rFonts w:cs="Arial"/>
                                <w:b/>
                                <w:sz w:val="18"/>
                              </w:rPr>
                              <w:t>Key:</w:t>
                            </w:r>
                          </w:p>
                          <w:p w:rsidR="00824F03" w:rsidRDefault="00824F03" w:rsidP="00824F03">
                            <w:pPr>
                              <w:tabs>
                                <w:tab w:val="left" w:pos="709"/>
                                <w:tab w:val="left" w:pos="7655"/>
                                <w:tab w:val="left" w:pos="8364"/>
                              </w:tabs>
                              <w:spacing w:after="0" w:line="240" w:lineRule="auto"/>
                              <w:rPr>
                                <w:rFonts w:cs="Arial"/>
                                <w:sz w:val="18"/>
                              </w:rPr>
                            </w:pPr>
                            <w:r>
                              <w:rPr>
                                <w:rFonts w:cs="Arial"/>
                                <w:sz w:val="18"/>
                              </w:rPr>
                              <w:t>ACART</w:t>
                            </w:r>
                            <w:r>
                              <w:rPr>
                                <w:rFonts w:cs="Arial"/>
                                <w:sz w:val="18"/>
                              </w:rPr>
                              <w:tab/>
                              <w:t>Advisory Committee on Assisted Reproductive Technology</w:t>
                            </w:r>
                            <w:r>
                              <w:rPr>
                                <w:rFonts w:cs="Arial"/>
                                <w:sz w:val="18"/>
                              </w:rPr>
                              <w:tab/>
                              <w:t>HDC</w:t>
                            </w:r>
                            <w:r>
                              <w:rPr>
                                <w:rFonts w:cs="Arial"/>
                                <w:sz w:val="18"/>
                              </w:rPr>
                              <w:tab/>
                              <w:t>Health and Disability Commissioner</w:t>
                            </w:r>
                          </w:p>
                          <w:p w:rsidR="00824F03" w:rsidRDefault="00824F03" w:rsidP="00824F03">
                            <w:pPr>
                              <w:tabs>
                                <w:tab w:val="left" w:pos="709"/>
                                <w:tab w:val="left" w:pos="7655"/>
                                <w:tab w:val="left" w:pos="8364"/>
                              </w:tabs>
                              <w:spacing w:after="0" w:line="240" w:lineRule="auto"/>
                              <w:rPr>
                                <w:rFonts w:cs="Arial"/>
                                <w:sz w:val="18"/>
                              </w:rPr>
                            </w:pPr>
                            <w:r>
                              <w:rPr>
                                <w:rFonts w:cs="Arial"/>
                                <w:sz w:val="18"/>
                              </w:rPr>
                              <w:t>ACC</w:t>
                            </w:r>
                            <w:r>
                              <w:rPr>
                                <w:rFonts w:cs="Arial"/>
                                <w:sz w:val="18"/>
                              </w:rPr>
                              <w:tab/>
                              <w:t>Accident Compensation Corporation</w:t>
                            </w:r>
                            <w:r>
                              <w:rPr>
                                <w:rFonts w:cs="Arial"/>
                                <w:sz w:val="18"/>
                              </w:rPr>
                              <w:tab/>
                              <w:t>HDEC</w:t>
                            </w:r>
                            <w:r>
                              <w:rPr>
                                <w:rFonts w:cs="Arial"/>
                                <w:sz w:val="18"/>
                              </w:rPr>
                              <w:tab/>
                              <w:t>Health and Disability Ethics Committee</w:t>
                            </w:r>
                          </w:p>
                          <w:p w:rsidR="00824F03" w:rsidRDefault="00824F03" w:rsidP="00824F03">
                            <w:pPr>
                              <w:tabs>
                                <w:tab w:val="left" w:pos="709"/>
                                <w:tab w:val="left" w:pos="7655"/>
                                <w:tab w:val="left" w:pos="8364"/>
                              </w:tabs>
                              <w:spacing w:after="0" w:line="240" w:lineRule="auto"/>
                              <w:rPr>
                                <w:rFonts w:cs="Arial"/>
                                <w:sz w:val="18"/>
                              </w:rPr>
                            </w:pPr>
                            <w:r>
                              <w:rPr>
                                <w:rFonts w:cs="Arial"/>
                                <w:sz w:val="18"/>
                              </w:rPr>
                              <w:t>CRI</w:t>
                            </w:r>
                            <w:r>
                              <w:rPr>
                                <w:rFonts w:cs="Arial"/>
                                <w:sz w:val="18"/>
                              </w:rPr>
                              <w:tab/>
                              <w:t>Crown Research Institute</w:t>
                            </w:r>
                            <w:r>
                              <w:rPr>
                                <w:rFonts w:cs="Arial"/>
                                <w:sz w:val="18"/>
                              </w:rPr>
                              <w:tab/>
                              <w:t>HRC</w:t>
                            </w:r>
                            <w:r>
                              <w:rPr>
                                <w:rFonts w:cs="Arial"/>
                                <w:sz w:val="18"/>
                              </w:rPr>
                              <w:tab/>
                              <w:t>Health Research Council</w:t>
                            </w:r>
                          </w:p>
                          <w:p w:rsidR="00824F03" w:rsidRDefault="00824F03" w:rsidP="00824F03">
                            <w:pPr>
                              <w:tabs>
                                <w:tab w:val="left" w:pos="709"/>
                                <w:tab w:val="left" w:pos="7655"/>
                                <w:tab w:val="left" w:pos="8364"/>
                              </w:tabs>
                              <w:spacing w:after="0" w:line="240" w:lineRule="auto"/>
                              <w:rPr>
                                <w:rFonts w:cs="Arial"/>
                                <w:sz w:val="18"/>
                              </w:rPr>
                            </w:pPr>
                            <w:r>
                              <w:rPr>
                                <w:rFonts w:cs="Arial"/>
                                <w:sz w:val="18"/>
                              </w:rPr>
                              <w:t>CRO</w:t>
                            </w:r>
                            <w:r>
                              <w:rPr>
                                <w:rFonts w:cs="Arial"/>
                                <w:sz w:val="18"/>
                              </w:rPr>
                              <w:tab/>
                              <w:t>Contract Research Organisation</w:t>
                            </w:r>
                            <w:r>
                              <w:rPr>
                                <w:rFonts w:cs="Arial"/>
                                <w:sz w:val="18"/>
                              </w:rPr>
                              <w:tab/>
                              <w:t>HRCEC</w:t>
                            </w:r>
                            <w:r>
                              <w:rPr>
                                <w:rFonts w:cs="Arial"/>
                                <w:sz w:val="18"/>
                              </w:rPr>
                              <w:tab/>
                              <w:t>Health Research Council Ethics Committee</w:t>
                            </w:r>
                          </w:p>
                          <w:p w:rsidR="00824F03" w:rsidRDefault="00824F03" w:rsidP="00824F03">
                            <w:pPr>
                              <w:tabs>
                                <w:tab w:val="left" w:pos="709"/>
                                <w:tab w:val="left" w:pos="7655"/>
                                <w:tab w:val="left" w:pos="8364"/>
                              </w:tabs>
                              <w:spacing w:after="0" w:line="240" w:lineRule="auto"/>
                              <w:rPr>
                                <w:rFonts w:cs="Arial"/>
                                <w:sz w:val="18"/>
                              </w:rPr>
                            </w:pPr>
                            <w:r>
                              <w:rPr>
                                <w:rFonts w:cs="Arial"/>
                                <w:sz w:val="18"/>
                              </w:rPr>
                              <w:t xml:space="preserve">DMCC </w:t>
                            </w:r>
                            <w:r>
                              <w:rPr>
                                <w:rFonts w:cs="Arial"/>
                                <w:sz w:val="18"/>
                              </w:rPr>
                              <w:tab/>
                              <w:t>Data Monitoring Core Committee</w:t>
                            </w:r>
                            <w:r>
                              <w:rPr>
                                <w:rFonts w:cs="Arial"/>
                                <w:sz w:val="18"/>
                              </w:rPr>
                              <w:tab/>
                              <w:t>IEC</w:t>
                            </w:r>
                            <w:r>
                              <w:rPr>
                                <w:rFonts w:cs="Arial"/>
                                <w:sz w:val="18"/>
                              </w:rPr>
                              <w:tab/>
                              <w:t>Institutional ethics committee</w:t>
                            </w:r>
                          </w:p>
                          <w:p w:rsidR="00824F03" w:rsidRDefault="00824F03" w:rsidP="00824F03">
                            <w:pPr>
                              <w:tabs>
                                <w:tab w:val="left" w:pos="709"/>
                                <w:tab w:val="left" w:pos="7655"/>
                                <w:tab w:val="left" w:pos="8364"/>
                              </w:tabs>
                              <w:spacing w:after="0" w:line="240" w:lineRule="auto"/>
                              <w:rPr>
                                <w:rFonts w:cs="Arial"/>
                                <w:sz w:val="18"/>
                              </w:rPr>
                            </w:pPr>
                            <w:r>
                              <w:rPr>
                                <w:rFonts w:cs="Arial"/>
                                <w:sz w:val="18"/>
                              </w:rPr>
                              <w:t>ECART</w:t>
                            </w:r>
                            <w:r>
                              <w:rPr>
                                <w:rFonts w:cs="Arial"/>
                                <w:sz w:val="18"/>
                              </w:rPr>
                              <w:tab/>
                              <w:t xml:space="preserve">Ethics Committee on Assisted Reproductive Technology </w:t>
                            </w:r>
                            <w:r>
                              <w:rPr>
                                <w:rFonts w:cs="Arial"/>
                                <w:sz w:val="18"/>
                              </w:rPr>
                              <w:tab/>
                              <w:t>NEAC</w:t>
                            </w:r>
                            <w:r>
                              <w:rPr>
                                <w:rFonts w:cs="Arial"/>
                                <w:sz w:val="18"/>
                              </w:rPr>
                              <w:tab/>
                              <w:t>National Ethics Advisory Committee</w:t>
                            </w:r>
                            <w:r>
                              <w:rPr>
                                <w:rFonts w:cs="Arial"/>
                                <w:sz w:val="18"/>
                              </w:rPr>
                              <w:tab/>
                            </w:r>
                          </w:p>
                          <w:p w:rsidR="00824F03" w:rsidRDefault="00824F03" w:rsidP="00824F03">
                            <w:pPr>
                              <w:tabs>
                                <w:tab w:val="left" w:pos="709"/>
                                <w:tab w:val="left" w:pos="7655"/>
                                <w:tab w:val="left" w:pos="8364"/>
                              </w:tabs>
                              <w:spacing w:after="0" w:line="240" w:lineRule="auto"/>
                            </w:pPr>
                            <w:r>
                              <w:rPr>
                                <w:rFonts w:cs="Arial"/>
                                <w:sz w:val="18"/>
                              </w:rPr>
                              <w:t>GTAC</w:t>
                            </w:r>
                            <w:r>
                              <w:rPr>
                                <w:rFonts w:cs="Arial"/>
                                <w:sz w:val="18"/>
                              </w:rPr>
                              <w:tab/>
                              <w:t xml:space="preserve">Gene Technology Advisory Committee </w:t>
                            </w:r>
                            <w:r>
                              <w:rPr>
                                <w:rFonts w:cs="Arial"/>
                                <w:sz w:val="18"/>
                              </w:rPr>
                              <w:tab/>
                              <w:t>SCOTT</w:t>
                            </w:r>
                            <w:r>
                              <w:rPr>
                                <w:rFonts w:cs="Arial"/>
                                <w:sz w:val="18"/>
                              </w:rPr>
                              <w:tab/>
                              <w:t>Standing Committee on Therapeutic Trials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0" style="position:absolute;margin-left:35.25pt;margin-top:304.85pt;width:643.9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" fillcolor="white [3212]" strokecolor="black [3213]">
                <v:path arrowok="t"/>
                <v:textbox>
                  <w:txbxContent>
                    <w:p w:rsidR="00824F03" w:rsidRPr="005A7CC7" w:rsidRDefault="00824F03" w:rsidP="00824F03">
                      <w:pPr>
                        <w:tabs>
                          <w:tab w:val="left" w:pos="8222"/>
                        </w:tabs>
                        <w:spacing w:after="80" w:line="240" w:lineRule="auto"/>
                        <w:rPr>
                          <w:rFonts w:cs="Arial"/>
                          <w:b/>
                          <w:sz w:val="18"/>
                        </w:rPr>
                      </w:pPr>
                      <w:r w:rsidRPr="005A7CC7">
                        <w:rPr>
                          <w:rFonts w:cs="Arial"/>
                          <w:b/>
                          <w:sz w:val="18"/>
                        </w:rPr>
                        <w:t>Key:</w:t>
                      </w:r>
                    </w:p>
                    <w:p w:rsidR="00824F03" w:rsidRDefault="00824F03" w:rsidP="00824F03">
                      <w:pPr>
                        <w:tabs>
                          <w:tab w:val="left" w:pos="709"/>
                          <w:tab w:val="left" w:pos="7655"/>
                          <w:tab w:val="left" w:pos="8364"/>
                        </w:tabs>
                        <w:spacing w:after="0" w:line="240" w:lineRule="auto"/>
                        <w:rPr>
                          <w:rFonts w:cs="Arial"/>
                          <w:sz w:val="18"/>
                        </w:rPr>
                      </w:pPr>
                      <w:r>
                        <w:rPr>
                          <w:rFonts w:cs="Arial"/>
                          <w:sz w:val="18"/>
                        </w:rPr>
                        <w:t>ACART</w:t>
                      </w:r>
                      <w:r>
                        <w:rPr>
                          <w:rFonts w:cs="Arial"/>
                          <w:sz w:val="18"/>
                        </w:rPr>
                        <w:tab/>
                        <w:t>Advisory Committee on Assisted Reproductive Technology</w:t>
                      </w:r>
                      <w:r>
                        <w:rPr>
                          <w:rFonts w:cs="Arial"/>
                          <w:sz w:val="18"/>
                        </w:rPr>
                        <w:tab/>
                        <w:t>HDC</w:t>
                      </w:r>
                      <w:r>
                        <w:rPr>
                          <w:rFonts w:cs="Arial"/>
                          <w:sz w:val="18"/>
                        </w:rPr>
                        <w:tab/>
                        <w:t>Health and Disability Commissioner</w:t>
                      </w:r>
                    </w:p>
                    <w:p w:rsidR="00824F03" w:rsidRDefault="00824F03" w:rsidP="00824F03">
                      <w:pPr>
                        <w:tabs>
                          <w:tab w:val="left" w:pos="709"/>
                          <w:tab w:val="left" w:pos="7655"/>
                          <w:tab w:val="left" w:pos="8364"/>
                        </w:tabs>
                        <w:spacing w:after="0" w:line="240" w:lineRule="auto"/>
                        <w:rPr>
                          <w:rFonts w:cs="Arial"/>
                          <w:sz w:val="18"/>
                        </w:rPr>
                      </w:pPr>
                      <w:r>
                        <w:rPr>
                          <w:rFonts w:cs="Arial"/>
                          <w:sz w:val="18"/>
                        </w:rPr>
                        <w:t>ACC</w:t>
                      </w:r>
                      <w:r>
                        <w:rPr>
                          <w:rFonts w:cs="Arial"/>
                          <w:sz w:val="18"/>
                        </w:rPr>
                        <w:tab/>
                        <w:t>Accident Compensation Corporation</w:t>
                      </w:r>
                      <w:r>
                        <w:rPr>
                          <w:rFonts w:cs="Arial"/>
                          <w:sz w:val="18"/>
                        </w:rPr>
                        <w:tab/>
                        <w:t>HDEC</w:t>
                      </w:r>
                      <w:r>
                        <w:rPr>
                          <w:rFonts w:cs="Arial"/>
                          <w:sz w:val="18"/>
                        </w:rPr>
                        <w:tab/>
                        <w:t>Health and Disability Ethics Committee</w:t>
                      </w:r>
                    </w:p>
                    <w:p w:rsidR="00824F03" w:rsidRDefault="00824F03" w:rsidP="00824F03">
                      <w:pPr>
                        <w:tabs>
                          <w:tab w:val="left" w:pos="709"/>
                          <w:tab w:val="left" w:pos="7655"/>
                          <w:tab w:val="left" w:pos="8364"/>
                        </w:tabs>
                        <w:spacing w:after="0" w:line="240" w:lineRule="auto"/>
                        <w:rPr>
                          <w:rFonts w:cs="Arial"/>
                          <w:sz w:val="18"/>
                        </w:rPr>
                      </w:pPr>
                      <w:r>
                        <w:rPr>
                          <w:rFonts w:cs="Arial"/>
                          <w:sz w:val="18"/>
                        </w:rPr>
                        <w:t>CRI</w:t>
                      </w:r>
                      <w:r>
                        <w:rPr>
                          <w:rFonts w:cs="Arial"/>
                          <w:sz w:val="18"/>
                        </w:rPr>
                        <w:tab/>
                        <w:t>Crown Research Institute</w:t>
                      </w:r>
                      <w:r>
                        <w:rPr>
                          <w:rFonts w:cs="Arial"/>
                          <w:sz w:val="18"/>
                        </w:rPr>
                        <w:tab/>
                        <w:t>HRC</w:t>
                      </w:r>
                      <w:r>
                        <w:rPr>
                          <w:rFonts w:cs="Arial"/>
                          <w:sz w:val="18"/>
                        </w:rPr>
                        <w:tab/>
                        <w:t>Health Research Council</w:t>
                      </w:r>
                    </w:p>
                    <w:p w:rsidR="00824F03" w:rsidRDefault="00824F03" w:rsidP="00824F03">
                      <w:pPr>
                        <w:tabs>
                          <w:tab w:val="left" w:pos="709"/>
                          <w:tab w:val="left" w:pos="7655"/>
                          <w:tab w:val="left" w:pos="8364"/>
                        </w:tabs>
                        <w:spacing w:after="0" w:line="240" w:lineRule="auto"/>
                        <w:rPr>
                          <w:rFonts w:cs="Arial"/>
                          <w:sz w:val="18"/>
                        </w:rPr>
                      </w:pPr>
                      <w:r>
                        <w:rPr>
                          <w:rFonts w:cs="Arial"/>
                          <w:sz w:val="18"/>
                        </w:rPr>
                        <w:t>CRO</w:t>
                      </w:r>
                      <w:r>
                        <w:rPr>
                          <w:rFonts w:cs="Arial"/>
                          <w:sz w:val="18"/>
                        </w:rPr>
                        <w:tab/>
                        <w:t>Contract Research Organisation</w:t>
                      </w:r>
                      <w:r>
                        <w:rPr>
                          <w:rFonts w:cs="Arial"/>
                          <w:sz w:val="18"/>
                        </w:rPr>
                        <w:tab/>
                        <w:t>HRCEC</w:t>
                      </w:r>
                      <w:r>
                        <w:rPr>
                          <w:rFonts w:cs="Arial"/>
                          <w:sz w:val="18"/>
                        </w:rPr>
                        <w:tab/>
                        <w:t>Health Research Council Ethics Committee</w:t>
                      </w:r>
                    </w:p>
                    <w:p w:rsidR="00824F03" w:rsidRDefault="00824F03" w:rsidP="00824F03">
                      <w:pPr>
                        <w:tabs>
                          <w:tab w:val="left" w:pos="709"/>
                          <w:tab w:val="left" w:pos="7655"/>
                          <w:tab w:val="left" w:pos="8364"/>
                        </w:tabs>
                        <w:spacing w:after="0" w:line="240" w:lineRule="auto"/>
                        <w:rPr>
                          <w:rFonts w:cs="Arial"/>
                          <w:sz w:val="18"/>
                        </w:rPr>
                      </w:pPr>
                      <w:r>
                        <w:rPr>
                          <w:rFonts w:cs="Arial"/>
                          <w:sz w:val="18"/>
                        </w:rPr>
                        <w:t xml:space="preserve">DMCC </w:t>
                      </w:r>
                      <w:r>
                        <w:rPr>
                          <w:rFonts w:cs="Arial"/>
                          <w:sz w:val="18"/>
                        </w:rPr>
                        <w:tab/>
                        <w:t>Data Monitoring Core Committee</w:t>
                      </w:r>
                      <w:r>
                        <w:rPr>
                          <w:rFonts w:cs="Arial"/>
                          <w:sz w:val="18"/>
                        </w:rPr>
                        <w:tab/>
                        <w:t>IEC</w:t>
                      </w:r>
                      <w:r>
                        <w:rPr>
                          <w:rFonts w:cs="Arial"/>
                          <w:sz w:val="18"/>
                        </w:rPr>
                        <w:tab/>
                        <w:t>Institutional ethics committee</w:t>
                      </w:r>
                    </w:p>
                    <w:p w:rsidR="00824F03" w:rsidRDefault="00824F03" w:rsidP="00824F03">
                      <w:pPr>
                        <w:tabs>
                          <w:tab w:val="left" w:pos="709"/>
                          <w:tab w:val="left" w:pos="7655"/>
                          <w:tab w:val="left" w:pos="8364"/>
                        </w:tabs>
                        <w:spacing w:after="0" w:line="240" w:lineRule="auto"/>
                        <w:rPr>
                          <w:rFonts w:cs="Arial"/>
                          <w:sz w:val="18"/>
                        </w:rPr>
                      </w:pPr>
                      <w:r>
                        <w:rPr>
                          <w:rFonts w:cs="Arial"/>
                          <w:sz w:val="18"/>
                        </w:rPr>
                        <w:t>ECART</w:t>
                      </w:r>
                      <w:r>
                        <w:rPr>
                          <w:rFonts w:cs="Arial"/>
                          <w:sz w:val="18"/>
                        </w:rPr>
                        <w:tab/>
                        <w:t xml:space="preserve">Ethics Committee on Assisted Reproductive Technology </w:t>
                      </w:r>
                      <w:r>
                        <w:rPr>
                          <w:rFonts w:cs="Arial"/>
                          <w:sz w:val="18"/>
                        </w:rPr>
                        <w:tab/>
                        <w:t>NEAC</w:t>
                      </w:r>
                      <w:r>
                        <w:rPr>
                          <w:rFonts w:cs="Arial"/>
                          <w:sz w:val="18"/>
                        </w:rPr>
                        <w:tab/>
                        <w:t>National Ethics Advisory Committee</w:t>
                      </w:r>
                      <w:r>
                        <w:rPr>
                          <w:rFonts w:cs="Arial"/>
                          <w:sz w:val="18"/>
                        </w:rPr>
                        <w:tab/>
                      </w:r>
                    </w:p>
                    <w:p w:rsidR="00824F03" w:rsidRDefault="00824F03" w:rsidP="00824F03">
                      <w:pPr>
                        <w:tabs>
                          <w:tab w:val="left" w:pos="709"/>
                          <w:tab w:val="left" w:pos="7655"/>
                          <w:tab w:val="left" w:pos="8364"/>
                        </w:tabs>
                        <w:spacing w:after="0" w:line="240" w:lineRule="auto"/>
                      </w:pPr>
                      <w:r>
                        <w:rPr>
                          <w:rFonts w:cs="Arial"/>
                          <w:sz w:val="18"/>
                        </w:rPr>
                        <w:t>GTAC</w:t>
                      </w:r>
                      <w:r>
                        <w:rPr>
                          <w:rFonts w:cs="Arial"/>
                          <w:sz w:val="18"/>
                        </w:rPr>
                        <w:tab/>
                        <w:t xml:space="preserve">Gene Technology Advisory Committee </w:t>
                      </w:r>
                      <w:r>
                        <w:rPr>
                          <w:rFonts w:cs="Arial"/>
                          <w:sz w:val="18"/>
                        </w:rPr>
                        <w:tab/>
                        <w:t>SCOTT</w:t>
                      </w:r>
                      <w:r>
                        <w:rPr>
                          <w:rFonts w:cs="Arial"/>
                          <w:sz w:val="18"/>
                        </w:rPr>
                        <w:tab/>
                        <w:t>Standing Committee on Therapeutic Trials</w:t>
                      </w:r>
                    </w:p>
                  </w:txbxContent>
                </v:textbox>
              </v:roundrect>
            </w:pict>
          </mc:Fallback>
        </mc:AlternateContent>
      </w:r>
      <w:r>
        <w:rPr>
          <w:noProof/>
          <w:lang w:eastAsia="en-NZ"/>
        </w:rPr>
        <mc:AlternateContent>
          <mc:Choice Requires="wps">
            <w:drawing>
              <wp:anchor distT="0" distB="0" distL="114300" distR="114300" simplePos="0" relativeHeight="251665408" behindDoc="0" locked="0" layoutInCell="1" allowOverlap="1" wp14:anchorId="4FF01B57" wp14:editId="4955AF4C">
                <wp:simplePos x="0" y="0"/>
                <wp:positionH relativeFrom="column">
                  <wp:posOffset>4667250</wp:posOffset>
                </wp:positionH>
                <wp:positionV relativeFrom="paragraph">
                  <wp:posOffset>2051685</wp:posOffset>
                </wp:positionV>
                <wp:extent cx="2353310" cy="1725295"/>
                <wp:effectExtent l="0" t="0" r="27940" b="2730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310" cy="1725295"/>
                        </a:xfrm>
                        <a:prstGeom prst="roundRect">
                          <a:avLst/>
                        </a:prstGeom>
                        <a:solidFill>
                          <a:schemeClr val="bg1"/>
                        </a:solidFill>
                        <a:ln w="19050" cap="flat" cmpd="sng" algn="ctr">
                          <a:solidFill>
                            <a:schemeClr val="tx1"/>
                          </a:solidFill>
                          <a:prstDash val="solid"/>
                        </a:ln>
                        <a:effectLst/>
                      </wps:spPr>
                      <wps:txbx>
                        <w:txbxContent>
                          <w:p w:rsidR="00824F03" w:rsidRPr="00123855" w:rsidRDefault="00824F03" w:rsidP="00824F03">
                            <w:pPr>
                              <w:spacing w:after="120"/>
                              <w:jc w:val="center"/>
                              <w:rPr>
                                <w:rFonts w:cs="Arial"/>
                                <w:b/>
                                <w:color w:val="000000"/>
                              </w:rPr>
                            </w:pPr>
                            <w:r w:rsidRPr="00123855">
                              <w:rPr>
                                <w:rFonts w:cs="Arial"/>
                                <w:b/>
                                <w:color w:val="000000"/>
                              </w:rPr>
                              <w:t xml:space="preserve">Bodies managing or organising research </w:t>
                            </w:r>
                          </w:p>
                          <w:p w:rsidR="00824F03" w:rsidRPr="003D1259" w:rsidRDefault="00824F03" w:rsidP="00824F03">
                            <w:pPr>
                              <w:pStyle w:val="ListParagraph"/>
                              <w:numPr>
                                <w:ilvl w:val="0"/>
                                <w:numId w:val="13"/>
                              </w:numPr>
                              <w:spacing w:after="0" w:line="240" w:lineRule="auto"/>
                              <w:rPr>
                                <w:rFonts w:cs="Arial"/>
                                <w:sz w:val="22"/>
                              </w:rPr>
                            </w:pPr>
                            <w:r w:rsidRPr="003D1259">
                              <w:rPr>
                                <w:rFonts w:cs="Arial"/>
                                <w:sz w:val="22"/>
                              </w:rPr>
                              <w:t xml:space="preserve">Sponsors </w:t>
                            </w:r>
                          </w:p>
                          <w:p w:rsidR="00824F03" w:rsidRDefault="00824F03" w:rsidP="00824F03">
                            <w:pPr>
                              <w:pStyle w:val="ListParagraph"/>
                              <w:numPr>
                                <w:ilvl w:val="0"/>
                                <w:numId w:val="13"/>
                              </w:numPr>
                              <w:spacing w:after="0" w:line="240" w:lineRule="auto"/>
                              <w:rPr>
                                <w:rFonts w:cs="Arial"/>
                                <w:sz w:val="22"/>
                              </w:rPr>
                            </w:pPr>
                            <w:r>
                              <w:rPr>
                                <w:rFonts w:cs="Arial"/>
                                <w:sz w:val="22"/>
                              </w:rPr>
                              <w:t>CRIs</w:t>
                            </w:r>
                          </w:p>
                          <w:p w:rsidR="00824F03" w:rsidRPr="003D1259" w:rsidRDefault="00824F03" w:rsidP="00824F03">
                            <w:pPr>
                              <w:pStyle w:val="ListParagraph"/>
                              <w:numPr>
                                <w:ilvl w:val="0"/>
                                <w:numId w:val="13"/>
                              </w:numPr>
                              <w:spacing w:after="0" w:line="240" w:lineRule="auto"/>
                              <w:rPr>
                                <w:rFonts w:cs="Arial"/>
                                <w:sz w:val="22"/>
                              </w:rPr>
                            </w:pPr>
                            <w:r w:rsidRPr="003D1259">
                              <w:rPr>
                                <w:rFonts w:cs="Arial"/>
                                <w:sz w:val="22"/>
                              </w:rPr>
                              <w:t>CROs</w:t>
                            </w:r>
                          </w:p>
                          <w:p w:rsidR="00824F03" w:rsidRDefault="00824F03" w:rsidP="00824F03">
                            <w:pPr>
                              <w:pStyle w:val="ListParagraph"/>
                              <w:numPr>
                                <w:ilvl w:val="0"/>
                                <w:numId w:val="13"/>
                              </w:numPr>
                              <w:spacing w:after="0" w:line="240" w:lineRule="auto"/>
                              <w:rPr>
                                <w:rFonts w:cs="Arial"/>
                                <w:sz w:val="22"/>
                              </w:rPr>
                            </w:pPr>
                            <w:r w:rsidRPr="003D1259">
                              <w:rPr>
                                <w:rFonts w:cs="Arial"/>
                                <w:sz w:val="22"/>
                              </w:rPr>
                              <w:t xml:space="preserve">DHBs and Universities </w:t>
                            </w:r>
                          </w:p>
                          <w:p w:rsidR="00824F03" w:rsidRPr="00E33DB7" w:rsidRDefault="00824F03" w:rsidP="00824F03">
                            <w:pPr>
                              <w:pStyle w:val="ListParagraph"/>
                              <w:numPr>
                                <w:ilvl w:val="0"/>
                                <w:numId w:val="13"/>
                              </w:numPr>
                              <w:spacing w:after="0" w:line="240" w:lineRule="auto"/>
                              <w:rPr>
                                <w:rFonts w:cs="Arial"/>
                                <w:sz w:val="22"/>
                              </w:rPr>
                            </w:pPr>
                            <w:r w:rsidRPr="00E33DB7">
                              <w:rPr>
                                <w:rFonts w:cs="Arial"/>
                                <w:sz w:val="22"/>
                              </w:rPr>
                              <w:t>Government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9" o:spid="_x0000_s1031" style="position:absolute;margin-left:367.5pt;margin-top:161.55pt;width:185.3pt;height:13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" fillcolor="white [3212]" strokecolor="black [3213]" strokeweight="1.5pt">
                <v:path arrowok="t"/>
                <v:textbox>
                  <w:txbxContent>
                    <w:p w:rsidR="00824F03" w:rsidRPr="00123855" w:rsidRDefault="00824F03" w:rsidP="00824F03">
                      <w:pPr>
                        <w:spacing w:after="120"/>
                        <w:jc w:val="center"/>
                        <w:rPr>
                          <w:rFonts w:cs="Arial"/>
                          <w:b/>
                          <w:color w:val="000000"/>
                        </w:rPr>
                      </w:pPr>
                      <w:r w:rsidRPr="00123855">
                        <w:rPr>
                          <w:rFonts w:cs="Arial"/>
                          <w:b/>
                          <w:color w:val="000000"/>
                        </w:rPr>
                        <w:t xml:space="preserve">Bodies managing or organising research </w:t>
                      </w:r>
                    </w:p>
                    <w:p w:rsidR="00824F03" w:rsidRPr="003D1259" w:rsidRDefault="00824F03" w:rsidP="00824F03">
                      <w:pPr>
                        <w:pStyle w:val="ListParagraph"/>
                        <w:numPr>
                          <w:ilvl w:val="0"/>
                          <w:numId w:val="13"/>
                        </w:numPr>
                        <w:spacing w:after="0" w:line="240" w:lineRule="auto"/>
                        <w:rPr>
                          <w:rFonts w:cs="Arial"/>
                          <w:sz w:val="22"/>
                        </w:rPr>
                      </w:pPr>
                      <w:r w:rsidRPr="003D1259">
                        <w:rPr>
                          <w:rFonts w:cs="Arial"/>
                          <w:sz w:val="22"/>
                        </w:rPr>
                        <w:t xml:space="preserve">Sponsors </w:t>
                      </w:r>
                    </w:p>
                    <w:p w:rsidR="00824F03" w:rsidRDefault="00824F03" w:rsidP="00824F03">
                      <w:pPr>
                        <w:pStyle w:val="ListParagraph"/>
                        <w:numPr>
                          <w:ilvl w:val="0"/>
                          <w:numId w:val="13"/>
                        </w:numPr>
                        <w:spacing w:after="0" w:line="240" w:lineRule="auto"/>
                        <w:rPr>
                          <w:rFonts w:cs="Arial"/>
                          <w:sz w:val="22"/>
                        </w:rPr>
                      </w:pPr>
                      <w:r>
                        <w:rPr>
                          <w:rFonts w:cs="Arial"/>
                          <w:sz w:val="22"/>
                        </w:rPr>
                        <w:t>CRIs</w:t>
                      </w:r>
                    </w:p>
                    <w:p w:rsidR="00824F03" w:rsidRPr="003D1259" w:rsidRDefault="00824F03" w:rsidP="00824F03">
                      <w:pPr>
                        <w:pStyle w:val="ListParagraph"/>
                        <w:numPr>
                          <w:ilvl w:val="0"/>
                          <w:numId w:val="13"/>
                        </w:numPr>
                        <w:spacing w:after="0" w:line="240" w:lineRule="auto"/>
                        <w:rPr>
                          <w:rFonts w:cs="Arial"/>
                          <w:sz w:val="22"/>
                        </w:rPr>
                      </w:pPr>
                      <w:r w:rsidRPr="003D1259">
                        <w:rPr>
                          <w:rFonts w:cs="Arial"/>
                          <w:sz w:val="22"/>
                        </w:rPr>
                        <w:t>CROs</w:t>
                      </w:r>
                    </w:p>
                    <w:p w:rsidR="00824F03" w:rsidRDefault="00824F03" w:rsidP="00824F03">
                      <w:pPr>
                        <w:pStyle w:val="ListParagraph"/>
                        <w:numPr>
                          <w:ilvl w:val="0"/>
                          <w:numId w:val="13"/>
                        </w:numPr>
                        <w:spacing w:after="0" w:line="240" w:lineRule="auto"/>
                        <w:rPr>
                          <w:rFonts w:cs="Arial"/>
                          <w:sz w:val="22"/>
                        </w:rPr>
                      </w:pPr>
                      <w:r w:rsidRPr="003D1259">
                        <w:rPr>
                          <w:rFonts w:cs="Arial"/>
                          <w:sz w:val="22"/>
                        </w:rPr>
                        <w:t xml:space="preserve">DHBs and Universities </w:t>
                      </w:r>
                    </w:p>
                    <w:p w:rsidR="00824F03" w:rsidRPr="00E33DB7" w:rsidRDefault="00824F03" w:rsidP="00824F03">
                      <w:pPr>
                        <w:pStyle w:val="ListParagraph"/>
                        <w:numPr>
                          <w:ilvl w:val="0"/>
                          <w:numId w:val="13"/>
                        </w:numPr>
                        <w:spacing w:after="0" w:line="240" w:lineRule="auto"/>
                        <w:rPr>
                          <w:rFonts w:cs="Arial"/>
                          <w:sz w:val="22"/>
                        </w:rPr>
                      </w:pPr>
                      <w:r w:rsidRPr="00E33DB7">
                        <w:rPr>
                          <w:rFonts w:cs="Arial"/>
                          <w:sz w:val="22"/>
                        </w:rPr>
                        <w:t>Government agencies</w:t>
                      </w:r>
                    </w:p>
                  </w:txbxContent>
                </v:textbox>
              </v:roundrect>
            </w:pict>
          </mc:Fallback>
        </mc:AlternateContent>
      </w:r>
      <w:r>
        <w:rPr>
          <w:noProof/>
          <w:lang w:eastAsia="en-NZ"/>
        </w:rPr>
        <mc:AlternateContent>
          <mc:Choice Requires="wps">
            <w:drawing>
              <wp:anchor distT="0" distB="0" distL="114300" distR="114300" simplePos="0" relativeHeight="251664384" behindDoc="0" locked="0" layoutInCell="1" allowOverlap="1" wp14:anchorId="7732D684" wp14:editId="745C72F9">
                <wp:simplePos x="0" y="0"/>
                <wp:positionH relativeFrom="column">
                  <wp:posOffset>-514350</wp:posOffset>
                </wp:positionH>
                <wp:positionV relativeFrom="paragraph">
                  <wp:posOffset>2052320</wp:posOffset>
                </wp:positionV>
                <wp:extent cx="2146300" cy="1543050"/>
                <wp:effectExtent l="0" t="0" r="2540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0" cy="1543050"/>
                        </a:xfrm>
                        <a:prstGeom prst="roundRect">
                          <a:avLst/>
                        </a:prstGeom>
                        <a:solidFill>
                          <a:schemeClr val="bg1"/>
                        </a:solidFill>
                        <a:ln w="19050" cap="flat" cmpd="sng" algn="ctr">
                          <a:solidFill>
                            <a:schemeClr val="tx1"/>
                          </a:solidFill>
                          <a:prstDash val="solid"/>
                        </a:ln>
                        <a:effectLst/>
                      </wps:spPr>
                      <wps:txbx>
                        <w:txbxContent>
                          <w:p w:rsidR="00824F03" w:rsidRPr="008032A9" w:rsidRDefault="00824F03" w:rsidP="00824F03">
                            <w:pPr>
                              <w:spacing w:after="120"/>
                              <w:jc w:val="center"/>
                              <w:rPr>
                                <w:rFonts w:cs="Arial"/>
                                <w:b/>
                              </w:rPr>
                            </w:pPr>
                            <w:r w:rsidRPr="008032A9">
                              <w:rPr>
                                <w:rFonts w:cs="Arial"/>
                                <w:b/>
                              </w:rPr>
                              <w:t xml:space="preserve">Complaint bodies </w:t>
                            </w:r>
                          </w:p>
                          <w:p w:rsidR="00824F03" w:rsidRPr="008032A9" w:rsidRDefault="00824F03" w:rsidP="00824F03">
                            <w:pPr>
                              <w:pStyle w:val="ListParagraph"/>
                              <w:numPr>
                                <w:ilvl w:val="0"/>
                                <w:numId w:val="11"/>
                              </w:numPr>
                              <w:spacing w:after="0" w:line="240" w:lineRule="auto"/>
                              <w:rPr>
                                <w:rFonts w:cs="Arial"/>
                                <w:sz w:val="22"/>
                              </w:rPr>
                            </w:pPr>
                            <w:r w:rsidRPr="008032A9">
                              <w:rPr>
                                <w:rFonts w:cs="Arial"/>
                                <w:sz w:val="22"/>
                              </w:rPr>
                              <w:t>HDC</w:t>
                            </w:r>
                          </w:p>
                          <w:p w:rsidR="00824F03" w:rsidRPr="008032A9" w:rsidRDefault="00824F03" w:rsidP="00824F03">
                            <w:pPr>
                              <w:pStyle w:val="ListParagraph"/>
                              <w:numPr>
                                <w:ilvl w:val="0"/>
                                <w:numId w:val="11"/>
                              </w:numPr>
                              <w:spacing w:after="0" w:line="240" w:lineRule="auto"/>
                              <w:rPr>
                                <w:rFonts w:cs="Arial"/>
                                <w:sz w:val="22"/>
                              </w:rPr>
                            </w:pPr>
                            <w:r w:rsidRPr="008032A9">
                              <w:rPr>
                                <w:rFonts w:cs="Arial"/>
                                <w:sz w:val="22"/>
                              </w:rPr>
                              <w:t>Health regulatory bodies</w:t>
                            </w:r>
                          </w:p>
                          <w:p w:rsidR="00824F03" w:rsidRPr="008032A9" w:rsidRDefault="00824F03" w:rsidP="00824F03">
                            <w:pPr>
                              <w:pStyle w:val="ListParagraph"/>
                              <w:numPr>
                                <w:ilvl w:val="0"/>
                                <w:numId w:val="11"/>
                              </w:numPr>
                              <w:spacing w:after="0" w:line="240" w:lineRule="auto"/>
                              <w:rPr>
                                <w:rFonts w:cs="Arial"/>
                                <w:sz w:val="22"/>
                              </w:rPr>
                            </w:pPr>
                            <w:r w:rsidRPr="008032A9">
                              <w:rPr>
                                <w:rFonts w:cs="Arial"/>
                                <w:sz w:val="22"/>
                              </w:rPr>
                              <w:t>Employers</w:t>
                            </w:r>
                          </w:p>
                          <w:p w:rsidR="00824F03" w:rsidRDefault="00824F03" w:rsidP="00824F03">
                            <w:pPr>
                              <w:pStyle w:val="ListParagraph"/>
                              <w:numPr>
                                <w:ilvl w:val="0"/>
                                <w:numId w:val="11"/>
                              </w:numPr>
                              <w:spacing w:after="0" w:line="240" w:lineRule="auto"/>
                              <w:rPr>
                                <w:rFonts w:cs="Arial"/>
                                <w:sz w:val="22"/>
                              </w:rPr>
                            </w:pPr>
                            <w:r w:rsidRPr="00F4205A">
                              <w:rPr>
                                <w:rFonts w:cs="Arial"/>
                                <w:sz w:val="22"/>
                              </w:rPr>
                              <w:t>Locality</w:t>
                            </w:r>
                          </w:p>
                          <w:p w:rsidR="00824F03" w:rsidRPr="00F4205A" w:rsidRDefault="00824F03" w:rsidP="00824F03">
                            <w:pPr>
                              <w:pStyle w:val="ListParagraph"/>
                              <w:numPr>
                                <w:ilvl w:val="0"/>
                                <w:numId w:val="11"/>
                              </w:numPr>
                              <w:spacing w:after="0" w:line="240" w:lineRule="auto"/>
                              <w:rPr>
                                <w:rFonts w:cs="Arial"/>
                                <w:sz w:val="22"/>
                              </w:rPr>
                            </w:pPr>
                            <w:r w:rsidRPr="00F4205A">
                              <w:rPr>
                                <w:rFonts w:cs="Arial"/>
                                <w:sz w:val="22"/>
                              </w:rPr>
                              <w:t xml:space="preserve">Privacy Commissioner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2" style="position:absolute;margin-left:-40.5pt;margin-top:161.6pt;width:169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" fillcolor="white [3212]" strokecolor="black [3213]" strokeweight="1.5pt">
                <v:path arrowok="t"/>
                <v:textbox>
                  <w:txbxContent>
                    <w:p w:rsidR="00824F03" w:rsidRPr="008032A9" w:rsidRDefault="00824F03" w:rsidP="00824F03">
                      <w:pPr>
                        <w:spacing w:after="120"/>
                        <w:jc w:val="center"/>
                        <w:rPr>
                          <w:rFonts w:cs="Arial"/>
                          <w:b/>
                        </w:rPr>
                      </w:pPr>
                      <w:r w:rsidRPr="008032A9">
                        <w:rPr>
                          <w:rFonts w:cs="Arial"/>
                          <w:b/>
                        </w:rPr>
                        <w:t xml:space="preserve">Complaint bodies </w:t>
                      </w:r>
                    </w:p>
                    <w:p w:rsidR="00824F03" w:rsidRPr="008032A9" w:rsidRDefault="00824F03" w:rsidP="00824F03">
                      <w:pPr>
                        <w:pStyle w:val="ListParagraph"/>
                        <w:numPr>
                          <w:ilvl w:val="0"/>
                          <w:numId w:val="11"/>
                        </w:numPr>
                        <w:spacing w:after="0" w:line="240" w:lineRule="auto"/>
                        <w:rPr>
                          <w:rFonts w:cs="Arial"/>
                          <w:sz w:val="22"/>
                        </w:rPr>
                      </w:pPr>
                      <w:r w:rsidRPr="008032A9">
                        <w:rPr>
                          <w:rFonts w:cs="Arial"/>
                          <w:sz w:val="22"/>
                        </w:rPr>
                        <w:t>HDC</w:t>
                      </w:r>
                    </w:p>
                    <w:p w:rsidR="00824F03" w:rsidRPr="008032A9" w:rsidRDefault="00824F03" w:rsidP="00824F03">
                      <w:pPr>
                        <w:pStyle w:val="ListParagraph"/>
                        <w:numPr>
                          <w:ilvl w:val="0"/>
                          <w:numId w:val="11"/>
                        </w:numPr>
                        <w:spacing w:after="0" w:line="240" w:lineRule="auto"/>
                        <w:rPr>
                          <w:rFonts w:cs="Arial"/>
                          <w:sz w:val="22"/>
                        </w:rPr>
                      </w:pPr>
                      <w:r w:rsidRPr="008032A9">
                        <w:rPr>
                          <w:rFonts w:cs="Arial"/>
                          <w:sz w:val="22"/>
                        </w:rPr>
                        <w:t>Health regulatory bodies</w:t>
                      </w:r>
                    </w:p>
                    <w:p w:rsidR="00824F03" w:rsidRPr="008032A9" w:rsidRDefault="00824F03" w:rsidP="00824F03">
                      <w:pPr>
                        <w:pStyle w:val="ListParagraph"/>
                        <w:numPr>
                          <w:ilvl w:val="0"/>
                          <w:numId w:val="11"/>
                        </w:numPr>
                        <w:spacing w:after="0" w:line="240" w:lineRule="auto"/>
                        <w:rPr>
                          <w:rFonts w:cs="Arial"/>
                          <w:sz w:val="22"/>
                        </w:rPr>
                      </w:pPr>
                      <w:r w:rsidRPr="008032A9">
                        <w:rPr>
                          <w:rFonts w:cs="Arial"/>
                          <w:sz w:val="22"/>
                        </w:rPr>
                        <w:t>Employers</w:t>
                      </w:r>
                    </w:p>
                    <w:p w:rsidR="00824F03" w:rsidRDefault="00824F03" w:rsidP="00824F03">
                      <w:pPr>
                        <w:pStyle w:val="ListParagraph"/>
                        <w:numPr>
                          <w:ilvl w:val="0"/>
                          <w:numId w:val="11"/>
                        </w:numPr>
                        <w:spacing w:after="0" w:line="240" w:lineRule="auto"/>
                        <w:rPr>
                          <w:rFonts w:cs="Arial"/>
                          <w:sz w:val="22"/>
                        </w:rPr>
                      </w:pPr>
                      <w:r w:rsidRPr="00F4205A">
                        <w:rPr>
                          <w:rFonts w:cs="Arial"/>
                          <w:sz w:val="22"/>
                        </w:rPr>
                        <w:t>Locality</w:t>
                      </w:r>
                    </w:p>
                    <w:p w:rsidR="00824F03" w:rsidRPr="00F4205A" w:rsidRDefault="00824F03" w:rsidP="00824F03">
                      <w:pPr>
                        <w:pStyle w:val="ListParagraph"/>
                        <w:numPr>
                          <w:ilvl w:val="0"/>
                          <w:numId w:val="11"/>
                        </w:numPr>
                        <w:spacing w:after="0" w:line="240" w:lineRule="auto"/>
                        <w:rPr>
                          <w:rFonts w:cs="Arial"/>
                          <w:sz w:val="22"/>
                        </w:rPr>
                      </w:pPr>
                      <w:r w:rsidRPr="00F4205A">
                        <w:rPr>
                          <w:rFonts w:cs="Arial"/>
                          <w:sz w:val="22"/>
                        </w:rPr>
                        <w:t xml:space="preserve">Privacy Commissioner </w:t>
                      </w:r>
                    </w:p>
                  </w:txbxContent>
                </v:textbox>
              </v:roundrect>
            </w:pict>
          </mc:Fallback>
        </mc:AlternateContent>
      </w:r>
      <w:r>
        <w:rPr>
          <w:noProof/>
          <w:lang w:eastAsia="en-NZ"/>
        </w:rPr>
        <mc:AlternateContent>
          <mc:Choice Requires="wps">
            <w:drawing>
              <wp:anchor distT="0" distB="0" distL="114298" distR="114298" simplePos="0" relativeHeight="251668480" behindDoc="0" locked="0" layoutInCell="1" allowOverlap="1" wp14:anchorId="19B39F63" wp14:editId="1AF66638">
                <wp:simplePos x="0" y="0"/>
                <wp:positionH relativeFrom="column">
                  <wp:posOffset>8905239</wp:posOffset>
                </wp:positionH>
                <wp:positionV relativeFrom="paragraph">
                  <wp:posOffset>278765</wp:posOffset>
                </wp:positionV>
                <wp:extent cx="0" cy="442595"/>
                <wp:effectExtent l="95250" t="38100" r="57150" b="146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25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701.2pt;margin-top:21.95pt;width:0;height:34.85p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" strokecolor="windowText" strokeweight="1.5pt">
                <v:stroke endarrow="open"/>
                <o:lock v:ext="edit" shapetype="f"/>
              </v:shape>
            </w:pict>
          </mc:Fallback>
        </mc:AlternateContent>
      </w:r>
      <w:r>
        <w:rPr>
          <w:noProof/>
          <w:lang w:eastAsia="en-NZ"/>
        </w:rPr>
        <mc:AlternateContent>
          <mc:Choice Requires="wps">
            <w:drawing>
              <wp:anchor distT="0" distB="0" distL="114300" distR="114300" simplePos="0" relativeHeight="251667456" behindDoc="0" locked="0" layoutInCell="1" allowOverlap="1" wp14:anchorId="79BC303B" wp14:editId="439348FC">
                <wp:simplePos x="0" y="0"/>
                <wp:positionH relativeFrom="column">
                  <wp:posOffset>8249285</wp:posOffset>
                </wp:positionH>
                <wp:positionV relativeFrom="paragraph">
                  <wp:posOffset>719455</wp:posOffset>
                </wp:positionV>
                <wp:extent cx="1328420" cy="621030"/>
                <wp:effectExtent l="0" t="0" r="24130" b="2667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621030"/>
                        </a:xfrm>
                        <a:prstGeom prst="roundRect">
                          <a:avLst/>
                        </a:prstGeom>
                        <a:solidFill>
                          <a:schemeClr val="bg1"/>
                        </a:solidFill>
                        <a:ln w="19050" cap="flat" cmpd="sng" algn="ctr">
                          <a:solidFill>
                            <a:schemeClr val="tx1"/>
                          </a:solidFill>
                          <a:prstDash val="solid"/>
                        </a:ln>
                        <a:effectLst/>
                      </wps:spPr>
                      <wps:txbx>
                        <w:txbxContent>
                          <w:p w:rsidR="00824F03" w:rsidRPr="008032A9" w:rsidRDefault="00824F03" w:rsidP="00824F03">
                            <w:pPr>
                              <w:spacing w:after="120"/>
                              <w:jc w:val="center"/>
                              <w:rPr>
                                <w:rFonts w:cs="Arial"/>
                                <w:sz w:val="20"/>
                                <w:szCs w:val="20"/>
                              </w:rPr>
                            </w:pPr>
                            <w:r w:rsidRPr="008032A9">
                              <w:rPr>
                                <w:rFonts w:cs="Arial"/>
                                <w:b/>
                              </w:rPr>
                              <w:t>Accreditation</w:t>
                            </w:r>
                          </w:p>
                          <w:p w:rsidR="00824F03" w:rsidRPr="008032A9" w:rsidRDefault="00824F03" w:rsidP="00824F03">
                            <w:pPr>
                              <w:jc w:val="center"/>
                              <w:rPr>
                                <w:rFonts w:cs="Arial"/>
                                <w:sz w:val="22"/>
                              </w:rPr>
                            </w:pPr>
                            <w:r w:rsidRPr="008032A9">
                              <w:rPr>
                                <w:rFonts w:cs="Arial"/>
                                <w:sz w:val="22"/>
                              </w:rPr>
                              <w:t>HRCEC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1" o:spid="_x0000_s1033" style="position:absolute;margin-left:649.55pt;margin-top:56.65pt;width:104.6pt;height:4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" fillcolor="white [3212]" strokecolor="black [3213]" strokeweight="1.5pt">
                <v:path arrowok="t"/>
                <v:textbox>
                  <w:txbxContent>
                    <w:p w:rsidR="00824F03" w:rsidRPr="008032A9" w:rsidRDefault="00824F03" w:rsidP="00824F03">
                      <w:pPr>
                        <w:spacing w:after="120"/>
                        <w:jc w:val="center"/>
                        <w:rPr>
                          <w:rFonts w:cs="Arial"/>
                          <w:sz w:val="20"/>
                          <w:szCs w:val="20"/>
                        </w:rPr>
                      </w:pPr>
                      <w:r w:rsidRPr="008032A9">
                        <w:rPr>
                          <w:rFonts w:cs="Arial"/>
                          <w:b/>
                        </w:rPr>
                        <w:t>Accreditation</w:t>
                      </w:r>
                    </w:p>
                    <w:p w:rsidR="00824F03" w:rsidRPr="008032A9" w:rsidRDefault="00824F03" w:rsidP="00824F03">
                      <w:pPr>
                        <w:jc w:val="center"/>
                        <w:rPr>
                          <w:rFonts w:cs="Arial"/>
                          <w:sz w:val="22"/>
                        </w:rPr>
                      </w:pPr>
                      <w:r w:rsidRPr="008032A9">
                        <w:rPr>
                          <w:rFonts w:cs="Arial"/>
                          <w:sz w:val="22"/>
                        </w:rPr>
                        <w:t>HRCEC</w:t>
                      </w:r>
                    </w:p>
                  </w:txbxContent>
                </v:textbox>
              </v:roundrect>
            </w:pict>
          </mc:Fallback>
        </mc:AlternateContent>
      </w:r>
      <w:r>
        <w:rPr>
          <w:noProof/>
          <w:lang w:eastAsia="en-NZ"/>
        </w:rPr>
        <mc:AlternateContent>
          <mc:Choice Requires="wps">
            <w:drawing>
              <wp:anchor distT="4294967295" distB="4294967295" distL="114300" distR="114300" simplePos="0" relativeHeight="251673600" behindDoc="0" locked="0" layoutInCell="1" allowOverlap="1" wp14:anchorId="0463C7A3" wp14:editId="02EE74C3">
                <wp:simplePos x="0" y="0"/>
                <wp:positionH relativeFrom="column">
                  <wp:posOffset>1097280</wp:posOffset>
                </wp:positionH>
                <wp:positionV relativeFrom="paragraph">
                  <wp:posOffset>724535</wp:posOffset>
                </wp:positionV>
                <wp:extent cx="2234565" cy="954405"/>
                <wp:effectExtent l="38100" t="38100" r="13335" b="361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34565" cy="954405"/>
                        </a:xfrm>
                        <a:prstGeom prst="straightConnector1">
                          <a:avLst/>
                        </a:prstGeom>
                        <a:noFill/>
                        <a:ln w="19050" cap="flat" cmpd="sng" algn="ctr">
                          <a:solidFill>
                            <a:schemeClr val="tx1"/>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86.4pt;margin-top:57.05pt;width:175.95pt;height:75.15pt;flip:x 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" strokecolor="black [3213]" strokeweight="1.5pt">
                <v:stroke endarrow="open"/>
                <o:lock v:ext="edit" shapetype="f"/>
              </v:shape>
            </w:pict>
          </mc:Fallback>
        </mc:AlternateContent>
      </w:r>
      <w:r>
        <w:rPr>
          <w:noProof/>
          <w:lang w:eastAsia="en-NZ"/>
        </w:rPr>
        <mc:AlternateContent>
          <mc:Choice Requires="wps">
            <w:drawing>
              <wp:anchor distT="4294967295" distB="4294967295" distL="114300" distR="114300" simplePos="0" relativeHeight="251677696" behindDoc="0" locked="0" layoutInCell="1" allowOverlap="1" wp14:anchorId="11020754" wp14:editId="15DFD49F">
                <wp:simplePos x="0" y="0"/>
                <wp:positionH relativeFrom="column">
                  <wp:posOffset>1144905</wp:posOffset>
                </wp:positionH>
                <wp:positionV relativeFrom="paragraph">
                  <wp:posOffset>509270</wp:posOffset>
                </wp:positionV>
                <wp:extent cx="2183130" cy="958215"/>
                <wp:effectExtent l="0" t="0" r="45720" b="704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83130" cy="958215"/>
                        </a:xfrm>
                        <a:prstGeom prst="straightConnector1">
                          <a:avLst/>
                        </a:prstGeom>
                        <a:noFill/>
                        <a:ln w="19050" cap="flat" cmpd="sng" algn="ctr">
                          <a:solidFill>
                            <a:schemeClr val="tx1"/>
                          </a:solidFill>
                          <a:prstDash val="solid"/>
                          <a:headEnd type="arrow"/>
                          <a:tailEnd type="non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90.15pt;margin-top:40.1pt;width:171.9pt;height:75.45pt;flip:x 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" strokecolor="black [3213]" strokeweight="1.5pt">
                <v:stroke startarrow="open"/>
                <o:lock v:ext="edit" shapetype="f"/>
              </v:shape>
            </w:pict>
          </mc:Fallback>
        </mc:AlternateContent>
      </w:r>
      <w:r>
        <w:rPr>
          <w:noProof/>
          <w:lang w:eastAsia="en-NZ"/>
        </w:rPr>
        <mc:AlternateContent>
          <mc:Choice Requires="wps">
            <w:drawing>
              <wp:anchor distT="4294967295" distB="4294967295" distL="114300" distR="114300" simplePos="0" relativeHeight="251659264" behindDoc="0" locked="0" layoutInCell="1" allowOverlap="1" wp14:anchorId="46EC9D98" wp14:editId="7E66B525">
                <wp:simplePos x="0" y="0"/>
                <wp:positionH relativeFrom="column">
                  <wp:posOffset>5422900</wp:posOffset>
                </wp:positionH>
                <wp:positionV relativeFrom="paragraph">
                  <wp:posOffset>276225</wp:posOffset>
                </wp:positionV>
                <wp:extent cx="2957830" cy="1480820"/>
                <wp:effectExtent l="0" t="38100" r="52070" b="241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7830" cy="1480820"/>
                        </a:xfrm>
                        <a:prstGeom prst="straightConnector1">
                          <a:avLst/>
                        </a:prstGeom>
                        <a:noFill/>
                        <a:ln w="19050" cap="flat" cmpd="sng" algn="ctr">
                          <a:solidFill>
                            <a:schemeClr val="tx1"/>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427pt;margin-top:21.75pt;width:232.9pt;height:116.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" strokecolor="black [3213]" strokeweight="1.5pt">
                <v:stroke endarrow="open"/>
                <o:lock v:ext="edit" shapetype="f"/>
              </v:shape>
            </w:pict>
          </mc:Fallback>
        </mc:AlternateContent>
      </w:r>
      <w:r>
        <w:rPr>
          <w:noProof/>
          <w:lang w:eastAsia="en-NZ"/>
        </w:rPr>
        <mc:AlternateContent>
          <mc:Choice Requires="wps">
            <w:drawing>
              <wp:anchor distT="4294967295" distB="4294967295" distL="114300" distR="114300" simplePos="0" relativeHeight="251660288" behindDoc="0" locked="0" layoutInCell="1" allowOverlap="1" wp14:anchorId="45403FFB" wp14:editId="4CE35D9E">
                <wp:simplePos x="0" y="0"/>
                <wp:positionH relativeFrom="column">
                  <wp:posOffset>5422900</wp:posOffset>
                </wp:positionH>
                <wp:positionV relativeFrom="paragraph">
                  <wp:posOffset>167640</wp:posOffset>
                </wp:positionV>
                <wp:extent cx="2750820" cy="1390015"/>
                <wp:effectExtent l="38100" t="0" r="30480" b="577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0820" cy="1390015"/>
                        </a:xfrm>
                        <a:prstGeom prst="straightConnector1">
                          <a:avLst/>
                        </a:prstGeom>
                        <a:noFill/>
                        <a:ln w="19050" cap="flat" cmpd="sng" algn="ctr">
                          <a:solidFill>
                            <a:schemeClr val="tx1"/>
                          </a:solidFill>
                          <a:prstDash val="solid"/>
                          <a:headEnd type="arrow"/>
                          <a:tailEnd type="non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27pt;margin-top:13.2pt;width:216.6pt;height:109.45p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" strokecolor="black [3213]" strokeweight="1.5pt">
                <v:stroke startarrow="open"/>
                <o:lock v:ext="edit" shapetype="f"/>
              </v:shape>
            </w:pict>
          </mc:Fallback>
        </mc:AlternateContent>
      </w:r>
      <w:r>
        <w:rPr>
          <w:noProof/>
          <w:lang w:eastAsia="en-NZ"/>
        </w:rPr>
        <mc:AlternateContent>
          <mc:Choice Requires="wps">
            <w:drawing>
              <wp:anchor distT="0" distB="0" distL="114300" distR="114300" simplePos="0" relativeHeight="251666432" behindDoc="0" locked="0" layoutInCell="1" allowOverlap="1" wp14:anchorId="498B63A5" wp14:editId="037A8457">
                <wp:simplePos x="0" y="0"/>
                <wp:positionH relativeFrom="column">
                  <wp:posOffset>7296150</wp:posOffset>
                </wp:positionH>
                <wp:positionV relativeFrom="paragraph">
                  <wp:posOffset>2053590</wp:posOffset>
                </wp:positionV>
                <wp:extent cx="1758315" cy="1303655"/>
                <wp:effectExtent l="0" t="0" r="13335" b="1079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315" cy="1303655"/>
                        </a:xfrm>
                        <a:prstGeom prst="roundRect">
                          <a:avLst/>
                        </a:prstGeom>
                        <a:solidFill>
                          <a:schemeClr val="bg1"/>
                        </a:solidFill>
                        <a:ln w="19050" cap="flat" cmpd="sng" algn="ctr">
                          <a:solidFill>
                            <a:schemeClr val="tx1"/>
                          </a:solidFill>
                          <a:prstDash val="solid"/>
                        </a:ln>
                        <a:effectLst/>
                      </wps:spPr>
                      <wps:txbx>
                        <w:txbxContent>
                          <w:p w:rsidR="00824F03" w:rsidRPr="008032A9" w:rsidRDefault="00824F03" w:rsidP="00824F03">
                            <w:pPr>
                              <w:spacing w:after="120"/>
                              <w:jc w:val="center"/>
                              <w:rPr>
                                <w:rFonts w:cs="Arial"/>
                                <w:sz w:val="20"/>
                                <w:szCs w:val="20"/>
                              </w:rPr>
                            </w:pPr>
                            <w:r w:rsidRPr="008032A9">
                              <w:rPr>
                                <w:rFonts w:cs="Arial"/>
                                <w:b/>
                              </w:rPr>
                              <w:t>Monitoring bodies</w:t>
                            </w:r>
                          </w:p>
                          <w:p w:rsidR="00824F03" w:rsidRPr="008032A9" w:rsidRDefault="00824F03" w:rsidP="00824F03">
                            <w:pPr>
                              <w:pStyle w:val="ListParagraph"/>
                              <w:numPr>
                                <w:ilvl w:val="0"/>
                                <w:numId w:val="14"/>
                              </w:numPr>
                              <w:spacing w:after="0" w:line="240" w:lineRule="auto"/>
                              <w:rPr>
                                <w:rFonts w:cs="Arial"/>
                                <w:sz w:val="22"/>
                              </w:rPr>
                            </w:pPr>
                            <w:r w:rsidRPr="008032A9">
                              <w:rPr>
                                <w:rFonts w:cs="Arial"/>
                                <w:sz w:val="22"/>
                              </w:rPr>
                              <w:t>DMCC</w:t>
                            </w:r>
                          </w:p>
                          <w:p w:rsidR="00824F03" w:rsidRPr="008032A9" w:rsidRDefault="00824F03" w:rsidP="00824F03">
                            <w:pPr>
                              <w:pStyle w:val="ListParagraph"/>
                              <w:numPr>
                                <w:ilvl w:val="0"/>
                                <w:numId w:val="14"/>
                              </w:numPr>
                              <w:spacing w:after="0" w:line="240" w:lineRule="auto"/>
                              <w:rPr>
                                <w:rFonts w:cs="Arial"/>
                                <w:sz w:val="22"/>
                              </w:rPr>
                            </w:pPr>
                            <w:r w:rsidRPr="008032A9">
                              <w:rPr>
                                <w:rFonts w:cs="Arial"/>
                                <w:sz w:val="22"/>
                              </w:rPr>
                              <w:t>HDECs</w:t>
                            </w:r>
                          </w:p>
                          <w:p w:rsidR="00824F03" w:rsidRPr="008032A9" w:rsidRDefault="00824F03" w:rsidP="00824F03">
                            <w:pPr>
                              <w:pStyle w:val="ListParagraph"/>
                              <w:numPr>
                                <w:ilvl w:val="0"/>
                                <w:numId w:val="14"/>
                              </w:numPr>
                              <w:spacing w:after="0" w:line="240" w:lineRule="auto"/>
                              <w:rPr>
                                <w:rFonts w:cs="Arial"/>
                                <w:sz w:val="22"/>
                              </w:rPr>
                            </w:pPr>
                            <w:r w:rsidRPr="008032A9">
                              <w:rPr>
                                <w:rFonts w:cs="Arial"/>
                                <w:sz w:val="22"/>
                              </w:rPr>
                              <w:t>Sponsors and CROs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4" style="position:absolute;margin-left:574.5pt;margin-top:161.7pt;width:138.45pt;height:10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" fillcolor="white [3212]" strokecolor="black [3213]" strokeweight="1.5pt">
                <v:path arrowok="t"/>
                <v:textbox>
                  <w:txbxContent>
                    <w:p w:rsidR="00824F03" w:rsidRPr="008032A9" w:rsidRDefault="00824F03" w:rsidP="00824F03">
                      <w:pPr>
                        <w:spacing w:after="120"/>
                        <w:jc w:val="center"/>
                        <w:rPr>
                          <w:rFonts w:cs="Arial"/>
                          <w:sz w:val="20"/>
                          <w:szCs w:val="20"/>
                        </w:rPr>
                      </w:pPr>
                      <w:r w:rsidRPr="008032A9">
                        <w:rPr>
                          <w:rFonts w:cs="Arial"/>
                          <w:b/>
                        </w:rPr>
                        <w:t>Monitoring bodies</w:t>
                      </w:r>
                    </w:p>
                    <w:p w:rsidR="00824F03" w:rsidRPr="008032A9" w:rsidRDefault="00824F03" w:rsidP="00824F03">
                      <w:pPr>
                        <w:pStyle w:val="ListParagraph"/>
                        <w:numPr>
                          <w:ilvl w:val="0"/>
                          <w:numId w:val="14"/>
                        </w:numPr>
                        <w:spacing w:after="0" w:line="240" w:lineRule="auto"/>
                        <w:rPr>
                          <w:rFonts w:cs="Arial"/>
                          <w:sz w:val="22"/>
                        </w:rPr>
                      </w:pPr>
                      <w:r w:rsidRPr="008032A9">
                        <w:rPr>
                          <w:rFonts w:cs="Arial"/>
                          <w:sz w:val="22"/>
                        </w:rPr>
                        <w:t>DMCC</w:t>
                      </w:r>
                    </w:p>
                    <w:p w:rsidR="00824F03" w:rsidRPr="008032A9" w:rsidRDefault="00824F03" w:rsidP="00824F03">
                      <w:pPr>
                        <w:pStyle w:val="ListParagraph"/>
                        <w:numPr>
                          <w:ilvl w:val="0"/>
                          <w:numId w:val="14"/>
                        </w:numPr>
                        <w:spacing w:after="0" w:line="240" w:lineRule="auto"/>
                        <w:rPr>
                          <w:rFonts w:cs="Arial"/>
                          <w:sz w:val="22"/>
                        </w:rPr>
                      </w:pPr>
                      <w:r w:rsidRPr="008032A9">
                        <w:rPr>
                          <w:rFonts w:cs="Arial"/>
                          <w:sz w:val="22"/>
                        </w:rPr>
                        <w:t>HDECs</w:t>
                      </w:r>
                    </w:p>
                    <w:p w:rsidR="00824F03" w:rsidRPr="008032A9" w:rsidRDefault="00824F03" w:rsidP="00824F03">
                      <w:pPr>
                        <w:pStyle w:val="ListParagraph"/>
                        <w:numPr>
                          <w:ilvl w:val="0"/>
                          <w:numId w:val="14"/>
                        </w:numPr>
                        <w:spacing w:after="0" w:line="240" w:lineRule="auto"/>
                        <w:rPr>
                          <w:rFonts w:cs="Arial"/>
                          <w:sz w:val="22"/>
                        </w:rPr>
                      </w:pPr>
                      <w:r w:rsidRPr="008032A9">
                        <w:rPr>
                          <w:rFonts w:cs="Arial"/>
                          <w:sz w:val="22"/>
                        </w:rPr>
                        <w:t>Sponsors and CROs</w:t>
                      </w:r>
                    </w:p>
                  </w:txbxContent>
                </v:textbox>
              </v:roundrect>
            </w:pict>
          </mc:Fallback>
        </mc:AlternateContent>
      </w:r>
      <w:r>
        <w:rPr>
          <w:noProof/>
          <w:lang w:eastAsia="en-NZ"/>
        </w:rPr>
        <mc:AlternateContent>
          <mc:Choice Requires="wps">
            <w:drawing>
              <wp:anchor distT="0" distB="0" distL="114300" distR="114300" simplePos="0" relativeHeight="251662336" behindDoc="0" locked="0" layoutInCell="1" allowOverlap="1" wp14:anchorId="0E33B774" wp14:editId="7111994E">
                <wp:simplePos x="0" y="0"/>
                <wp:positionH relativeFrom="column">
                  <wp:posOffset>1947545</wp:posOffset>
                </wp:positionH>
                <wp:positionV relativeFrom="paragraph">
                  <wp:posOffset>2051685</wp:posOffset>
                </wp:positionV>
                <wp:extent cx="2409190" cy="1725295"/>
                <wp:effectExtent l="0" t="0" r="10160" b="2730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190" cy="1725295"/>
                        </a:xfrm>
                        <a:prstGeom prst="roundRect">
                          <a:avLst/>
                        </a:prstGeom>
                        <a:solidFill>
                          <a:schemeClr val="bg1"/>
                        </a:solidFill>
                        <a:ln w="19050" cap="flat" cmpd="sng" algn="ctr">
                          <a:solidFill>
                            <a:schemeClr val="tx1"/>
                          </a:solidFill>
                          <a:prstDash val="solid"/>
                        </a:ln>
                        <a:effectLst/>
                      </wps:spPr>
                      <wps:txbx>
                        <w:txbxContent>
                          <w:p w:rsidR="00824F03" w:rsidRPr="008032A9" w:rsidRDefault="00824F03" w:rsidP="00824F03">
                            <w:pPr>
                              <w:spacing w:after="120"/>
                              <w:jc w:val="center"/>
                              <w:rPr>
                                <w:rFonts w:cs="Arial"/>
                                <w:b/>
                              </w:rPr>
                            </w:pPr>
                            <w:r w:rsidRPr="008032A9">
                              <w:rPr>
                                <w:rFonts w:cs="Arial"/>
                                <w:b/>
                              </w:rPr>
                              <w:t>Funders</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HRC</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Universities</w:t>
                            </w:r>
                          </w:p>
                          <w:p w:rsidR="00824F03" w:rsidRPr="00F4205A" w:rsidRDefault="00824F03" w:rsidP="00824F03">
                            <w:pPr>
                              <w:pStyle w:val="ListParagraph"/>
                              <w:numPr>
                                <w:ilvl w:val="0"/>
                                <w:numId w:val="12"/>
                              </w:numPr>
                              <w:spacing w:after="0" w:line="240" w:lineRule="auto"/>
                              <w:rPr>
                                <w:rFonts w:cs="Arial"/>
                                <w:sz w:val="22"/>
                              </w:rPr>
                            </w:pPr>
                            <w:r w:rsidRPr="00F4205A">
                              <w:rPr>
                                <w:rFonts w:cs="Arial"/>
                                <w:sz w:val="22"/>
                              </w:rPr>
                              <w:t xml:space="preserve">Government agencies </w:t>
                            </w:r>
                            <w:proofErr w:type="spellStart"/>
                            <w:r w:rsidRPr="00F4205A">
                              <w:rPr>
                                <w:rFonts w:cs="Arial"/>
                                <w:sz w:val="22"/>
                              </w:rPr>
                              <w:t>eg</w:t>
                            </w:r>
                            <w:proofErr w:type="spellEnd"/>
                            <w:r w:rsidRPr="00F4205A">
                              <w:rPr>
                                <w:rFonts w:cs="Arial"/>
                                <w:sz w:val="22"/>
                              </w:rPr>
                              <w:t>, Ministry of Health</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 xml:space="preserve">Sponsors </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Localities</w:t>
                            </w:r>
                          </w:p>
                          <w:p w:rsidR="00824F03" w:rsidRPr="008032A9" w:rsidRDefault="00824F03" w:rsidP="00824F03">
                            <w:pPr>
                              <w:pStyle w:val="ListParagraph"/>
                              <w:numPr>
                                <w:ilvl w:val="0"/>
                                <w:numId w:val="12"/>
                              </w:numPr>
                              <w:spacing w:after="0" w:line="240" w:lineRule="auto"/>
                              <w:rPr>
                                <w:rFonts w:cs="Arial"/>
                                <w:sz w:val="22"/>
                              </w:rPr>
                            </w:pPr>
                            <w:r w:rsidRPr="00E33DB7">
                              <w:rPr>
                                <w:rFonts w:cs="Arial"/>
                                <w:sz w:val="22"/>
                              </w:rPr>
                              <w:t>Other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153.35pt;margin-top:161.55pt;width:189.7pt;height:1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" fillcolor="white [3212]" strokecolor="black [3213]" strokeweight="1.5pt">
                <v:path arrowok="t"/>
                <v:textbox>
                  <w:txbxContent>
                    <w:p w:rsidR="00824F03" w:rsidRPr="008032A9" w:rsidRDefault="00824F03" w:rsidP="00824F03">
                      <w:pPr>
                        <w:spacing w:after="120"/>
                        <w:jc w:val="center"/>
                        <w:rPr>
                          <w:rFonts w:cs="Arial"/>
                          <w:b/>
                        </w:rPr>
                      </w:pPr>
                      <w:r w:rsidRPr="008032A9">
                        <w:rPr>
                          <w:rFonts w:cs="Arial"/>
                          <w:b/>
                        </w:rPr>
                        <w:t>Funders</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HRC</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Universities</w:t>
                      </w:r>
                    </w:p>
                    <w:p w:rsidR="00824F03" w:rsidRPr="00F4205A" w:rsidRDefault="00824F03" w:rsidP="00824F03">
                      <w:pPr>
                        <w:pStyle w:val="ListParagraph"/>
                        <w:numPr>
                          <w:ilvl w:val="0"/>
                          <w:numId w:val="12"/>
                        </w:numPr>
                        <w:spacing w:after="0" w:line="240" w:lineRule="auto"/>
                        <w:rPr>
                          <w:rFonts w:cs="Arial"/>
                          <w:sz w:val="22"/>
                        </w:rPr>
                      </w:pPr>
                      <w:r w:rsidRPr="00F4205A">
                        <w:rPr>
                          <w:rFonts w:cs="Arial"/>
                          <w:sz w:val="22"/>
                        </w:rPr>
                        <w:t xml:space="preserve">Government agencies </w:t>
                      </w:r>
                      <w:proofErr w:type="spellStart"/>
                      <w:r w:rsidRPr="00F4205A">
                        <w:rPr>
                          <w:rFonts w:cs="Arial"/>
                          <w:sz w:val="22"/>
                        </w:rPr>
                        <w:t>eg</w:t>
                      </w:r>
                      <w:proofErr w:type="spellEnd"/>
                      <w:r w:rsidRPr="00F4205A">
                        <w:rPr>
                          <w:rFonts w:cs="Arial"/>
                          <w:sz w:val="22"/>
                        </w:rPr>
                        <w:t>, Ministry of Health</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 xml:space="preserve">Sponsors </w:t>
                      </w:r>
                    </w:p>
                    <w:p w:rsidR="00824F03" w:rsidRPr="008032A9" w:rsidRDefault="00824F03" w:rsidP="00824F03">
                      <w:pPr>
                        <w:pStyle w:val="ListParagraph"/>
                        <w:numPr>
                          <w:ilvl w:val="0"/>
                          <w:numId w:val="12"/>
                        </w:numPr>
                        <w:spacing w:after="0" w:line="240" w:lineRule="auto"/>
                        <w:rPr>
                          <w:rFonts w:cs="Arial"/>
                          <w:sz w:val="22"/>
                        </w:rPr>
                      </w:pPr>
                      <w:r w:rsidRPr="008032A9">
                        <w:rPr>
                          <w:rFonts w:cs="Arial"/>
                          <w:sz w:val="22"/>
                        </w:rPr>
                        <w:t>Localities</w:t>
                      </w:r>
                    </w:p>
                    <w:p w:rsidR="00824F03" w:rsidRPr="008032A9" w:rsidRDefault="00824F03" w:rsidP="00824F03">
                      <w:pPr>
                        <w:pStyle w:val="ListParagraph"/>
                        <w:numPr>
                          <w:ilvl w:val="0"/>
                          <w:numId w:val="12"/>
                        </w:numPr>
                        <w:spacing w:after="0" w:line="240" w:lineRule="auto"/>
                        <w:rPr>
                          <w:rFonts w:cs="Arial"/>
                          <w:sz w:val="22"/>
                        </w:rPr>
                      </w:pPr>
                      <w:r w:rsidRPr="00E33DB7">
                        <w:rPr>
                          <w:rFonts w:cs="Arial"/>
                          <w:sz w:val="22"/>
                        </w:rPr>
                        <w:t>Other institutions</w:t>
                      </w:r>
                    </w:p>
                  </w:txbxContent>
                </v:textbox>
              </v:roundrect>
            </w:pict>
          </mc:Fallback>
        </mc:AlternateContent>
      </w:r>
      <w:r>
        <w:rPr>
          <w:noProof/>
          <w:lang w:eastAsia="en-NZ"/>
        </w:rPr>
        <mc:AlternateContent>
          <mc:Choice Requires="wps">
            <w:drawing>
              <wp:anchor distT="0" distB="0" distL="114300" distR="114300" simplePos="0" relativeHeight="251676672" behindDoc="0" locked="0" layoutInCell="1" allowOverlap="1" wp14:anchorId="4B334011" wp14:editId="082DBA66">
                <wp:simplePos x="0" y="0"/>
                <wp:positionH relativeFrom="column">
                  <wp:posOffset>3331210</wp:posOffset>
                </wp:positionH>
                <wp:positionV relativeFrom="paragraph">
                  <wp:posOffset>1256030</wp:posOffset>
                </wp:positionV>
                <wp:extent cx="2091055" cy="621030"/>
                <wp:effectExtent l="0" t="0" r="23495" b="2667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1055" cy="621030"/>
                        </a:xfrm>
                        <a:prstGeom prst="roundRect">
                          <a:avLst/>
                        </a:prstGeom>
                        <a:solidFill>
                          <a:schemeClr val="bg1"/>
                        </a:solidFill>
                        <a:ln w="19050" cap="flat" cmpd="sng" algn="ctr">
                          <a:solidFill>
                            <a:schemeClr val="tx1"/>
                          </a:solidFill>
                          <a:prstDash val="solid"/>
                        </a:ln>
                        <a:effectLst/>
                      </wps:spPr>
                      <wps:txbx>
                        <w:txbxContent>
                          <w:p w:rsidR="00824F03" w:rsidRDefault="00824F03" w:rsidP="00824F03">
                            <w:pPr>
                              <w:spacing w:after="0"/>
                              <w:jc w:val="center"/>
                              <w:rPr>
                                <w:rFonts w:cs="Arial"/>
                              </w:rPr>
                            </w:pPr>
                            <w:r>
                              <w:rPr>
                                <w:rFonts w:cs="Arial"/>
                              </w:rPr>
                              <w:t>Researchers</w:t>
                            </w:r>
                          </w:p>
                          <w:p w:rsidR="00824F03" w:rsidRPr="001C7062" w:rsidRDefault="00824F03" w:rsidP="00824F03">
                            <w:pPr>
                              <w:spacing w:after="0"/>
                              <w:jc w:val="center"/>
                              <w:rPr>
                                <w:rFonts w:cs="Arial"/>
                              </w:rPr>
                            </w:pPr>
                            <w:r>
                              <w:rPr>
                                <w:rFonts w:cs="Arial"/>
                              </w:rPr>
                              <w:t>Participants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7" o:spid="_x0000_s1036" style="position:absolute;margin-left:262.3pt;margin-top:98.9pt;width:164.65pt;height:4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" fillcolor="white [3212]" strokecolor="black [3213]" strokeweight="1.5pt">
                <v:path arrowok="t"/>
                <v:textbox>
                  <w:txbxContent>
                    <w:p w:rsidR="00824F03" w:rsidRDefault="00824F03" w:rsidP="00824F03">
                      <w:pPr>
                        <w:spacing w:after="0"/>
                        <w:jc w:val="center"/>
                        <w:rPr>
                          <w:rFonts w:cs="Arial"/>
                        </w:rPr>
                      </w:pPr>
                      <w:r>
                        <w:rPr>
                          <w:rFonts w:cs="Arial"/>
                        </w:rPr>
                        <w:t>Researchers</w:t>
                      </w:r>
                    </w:p>
                    <w:p w:rsidR="00824F03" w:rsidRPr="001C7062" w:rsidRDefault="00824F03" w:rsidP="00824F03">
                      <w:pPr>
                        <w:spacing w:after="0"/>
                        <w:jc w:val="center"/>
                        <w:rPr>
                          <w:rFonts w:cs="Arial"/>
                        </w:rPr>
                      </w:pPr>
                      <w:r>
                        <w:rPr>
                          <w:rFonts w:cs="Arial"/>
                        </w:rPr>
                        <w:t>Participants</w:t>
                      </w:r>
                    </w:p>
                  </w:txbxContent>
                </v:textbox>
              </v:roundrect>
            </w:pict>
          </mc:Fallback>
        </mc:AlternateContent>
      </w:r>
      <w:r>
        <w:rPr>
          <w:rFonts w:cs="Arial"/>
          <w:bCs/>
          <w:caps/>
        </w:rPr>
        <w:fldChar w:fldCharType="end"/>
      </w:r>
    </w:p>
    <w:p w:rsidR="00334761" w:rsidRPr="003B38AD" w:rsidRDefault="00CC44F5" w:rsidP="009D4230">
      <w:pPr>
        <w:pStyle w:val="TOC1"/>
        <w:sectPr w:rsidR="00334761" w:rsidRPr="003B38AD" w:rsidSect="00012DE2">
          <w:pgSz w:w="16838" w:h="11906" w:orient="landscape"/>
          <w:pgMar w:top="851" w:right="1440" w:bottom="851" w:left="1440" w:header="709" w:footer="709" w:gutter="0"/>
          <w:cols w:space="708"/>
          <w:docGrid w:linePitch="360"/>
        </w:sectPr>
      </w:pPr>
      <w:r>
        <w:rPr>
          <w:noProof/>
          <w:lang w:val="en-US"/>
        </w:rPr>
        <w:t>.</w:t>
      </w:r>
      <w:r w:rsidR="004C06FC">
        <w:rPr>
          <w:bCs/>
        </w:rPr>
        <w:fldChar w:fldCharType="end"/>
      </w:r>
    </w:p>
    <w:p w:rsidR="009466C0" w:rsidRPr="00415C77" w:rsidRDefault="009466C0" w:rsidP="00CE08DE">
      <w:pPr>
        <w:pStyle w:val="Heading1"/>
        <w:spacing w:before="0" w:line="240" w:lineRule="auto"/>
      </w:pPr>
      <w:bookmarkStart w:id="11" w:name="_Toc184378468"/>
      <w:bookmarkStart w:id="12" w:name="_Toc203889443"/>
      <w:bookmarkStart w:id="13" w:name="_Toc401587729"/>
      <w:r w:rsidRPr="001B4676">
        <w:t>Background</w:t>
      </w:r>
      <w:bookmarkEnd w:id="11"/>
      <w:bookmarkEnd w:id="12"/>
      <w:bookmarkEnd w:id="13"/>
    </w:p>
    <w:p w:rsidR="00F917BB" w:rsidRDefault="00F917BB" w:rsidP="00F917BB">
      <w:pPr>
        <w:spacing w:after="0" w:line="240" w:lineRule="auto"/>
      </w:pPr>
    </w:p>
    <w:p w:rsidR="009466C0" w:rsidRDefault="009466C0" w:rsidP="00CE08DE">
      <w:pPr>
        <w:pStyle w:val="Heading2"/>
        <w:spacing w:before="0" w:line="240" w:lineRule="auto"/>
      </w:pPr>
      <w:bookmarkStart w:id="14" w:name="_Toc401587730"/>
      <w:r>
        <w:t>About NEAC</w:t>
      </w:r>
      <w:bookmarkEnd w:id="14"/>
      <w:r>
        <w:t xml:space="preserve"> </w:t>
      </w:r>
    </w:p>
    <w:p w:rsidR="009466C0" w:rsidRDefault="009466C0" w:rsidP="00CE08DE">
      <w:pPr>
        <w:spacing w:after="0" w:line="240" w:lineRule="auto"/>
        <w:rPr>
          <w:rFonts w:ascii="Arial Mäori" w:eastAsia="Times New Roman" w:hAnsi="Arial Mäori"/>
          <w:szCs w:val="24"/>
          <w:lang w:eastAsia="en-GB"/>
        </w:rPr>
      </w:pPr>
    </w:p>
    <w:p w:rsidR="009466C0" w:rsidRDefault="009466C0" w:rsidP="00F917BB">
      <w:pPr>
        <w:spacing w:after="0" w:line="240" w:lineRule="auto"/>
      </w:pPr>
      <w:r w:rsidRPr="00770B07">
        <w:rPr>
          <w:rFonts w:cs="Arial"/>
        </w:rPr>
        <w:t>NEAC is an independent a</w:t>
      </w:r>
      <w:r>
        <w:rPr>
          <w:rFonts w:cs="Arial"/>
        </w:rPr>
        <w:t xml:space="preserve">dvisor to the Minister of Health. NEAC was established </w:t>
      </w:r>
      <w:r w:rsidRPr="009A7D2D">
        <w:t>in 2001 by section 16 of the New Zealand Public Health and Disability Act 2000</w:t>
      </w:r>
      <w:r>
        <w:rPr>
          <w:rFonts w:cs="Arial"/>
        </w:rPr>
        <w:t>.</w:t>
      </w:r>
      <w:r w:rsidR="00CE08DE">
        <w:rPr>
          <w:rFonts w:cs="Arial"/>
        </w:rPr>
        <w:t xml:space="preserve"> </w:t>
      </w:r>
      <w:r>
        <w:t>I</w:t>
      </w:r>
      <w:r w:rsidRPr="00770B07">
        <w:t xml:space="preserve">ts statutory functions include advising the Minister on ethical issues </w:t>
      </w:r>
      <w:r w:rsidR="006965F5">
        <w:t>for</w:t>
      </w:r>
      <w:r w:rsidRPr="00770B07">
        <w:t xml:space="preserve"> health and disability matters and determining nationally consistent ethical stand</w:t>
      </w:r>
      <w:r>
        <w:t xml:space="preserve">ards across the health sector. </w:t>
      </w:r>
    </w:p>
    <w:p w:rsidR="00CE08DE" w:rsidRDefault="00CE08DE" w:rsidP="00CE08DE">
      <w:pPr>
        <w:pStyle w:val="NEACbodypara"/>
        <w:spacing w:before="0"/>
        <w:rPr>
          <w:rFonts w:cs="Arial"/>
        </w:rPr>
      </w:pPr>
    </w:p>
    <w:p w:rsidR="00CE08DE" w:rsidRPr="00CE08DE" w:rsidRDefault="009466C0" w:rsidP="00CE08DE">
      <w:pPr>
        <w:pStyle w:val="Heading2"/>
        <w:spacing w:before="0" w:line="240" w:lineRule="auto"/>
      </w:pPr>
      <w:bookmarkStart w:id="15" w:name="_Toc401587731"/>
      <w:bookmarkStart w:id="16" w:name="_Toc184378469"/>
      <w:bookmarkStart w:id="17" w:name="_Toc203889444"/>
      <w:r>
        <w:t>Background to this review</w:t>
      </w:r>
      <w:bookmarkEnd w:id="15"/>
      <w:r>
        <w:t xml:space="preserve"> </w:t>
      </w:r>
      <w:bookmarkEnd w:id="16"/>
      <w:bookmarkEnd w:id="17"/>
    </w:p>
    <w:p w:rsidR="00F917BB" w:rsidRDefault="00F917BB" w:rsidP="00F917BB">
      <w:pPr>
        <w:spacing w:after="0" w:line="240" w:lineRule="auto"/>
      </w:pPr>
    </w:p>
    <w:p w:rsidR="009466C0" w:rsidRDefault="009466C0" w:rsidP="00CE08DE">
      <w:pPr>
        <w:pStyle w:val="Heading3"/>
        <w:spacing w:before="0" w:line="240" w:lineRule="auto"/>
      </w:pPr>
      <w:r w:rsidRPr="00EA6EEB">
        <w:t>NEAC</w:t>
      </w:r>
      <w:r>
        <w:t>’s</w:t>
      </w:r>
      <w:r w:rsidRPr="00EA6EEB">
        <w:t xml:space="preserve"> advice on </w:t>
      </w:r>
      <w:r>
        <w:t xml:space="preserve">Health Select Committee </w:t>
      </w:r>
      <w:r w:rsidRPr="00EA6EEB">
        <w:t xml:space="preserve">clinical trials inquiry </w:t>
      </w:r>
    </w:p>
    <w:p w:rsidR="00CE08DE" w:rsidRDefault="00CE08DE" w:rsidP="00CE08DE">
      <w:pPr>
        <w:pStyle w:val="Number"/>
        <w:keepNext/>
        <w:tabs>
          <w:tab w:val="clear" w:pos="360"/>
        </w:tabs>
        <w:spacing w:before="0"/>
        <w:rPr>
          <w:rFonts w:eastAsiaTheme="minorHAnsi" w:cstheme="minorBidi"/>
          <w:sz w:val="24"/>
          <w:szCs w:val="22"/>
          <w:lang w:eastAsia="en-US"/>
        </w:rPr>
      </w:pPr>
    </w:p>
    <w:p w:rsidR="009466C0" w:rsidRDefault="009466C0" w:rsidP="00CE08DE">
      <w:pPr>
        <w:pStyle w:val="Number"/>
        <w:keepNext/>
        <w:tabs>
          <w:tab w:val="clear" w:pos="360"/>
        </w:tabs>
        <w:spacing w:before="0"/>
        <w:rPr>
          <w:sz w:val="24"/>
          <w:szCs w:val="24"/>
        </w:rPr>
      </w:pPr>
      <w:r w:rsidRPr="00B16018">
        <w:rPr>
          <w:sz w:val="24"/>
          <w:szCs w:val="24"/>
        </w:rPr>
        <w:t xml:space="preserve">In 2010, the Health Select Committee </w:t>
      </w:r>
      <w:r>
        <w:rPr>
          <w:sz w:val="24"/>
          <w:szCs w:val="24"/>
        </w:rPr>
        <w:t xml:space="preserve">(Health Committee) </w:t>
      </w:r>
      <w:r w:rsidRPr="00B16018">
        <w:rPr>
          <w:sz w:val="24"/>
          <w:szCs w:val="24"/>
        </w:rPr>
        <w:t>opened an inquiry into improving New Zealand’s environment to support innovation through clinical trials. NEAC advised the Minister of Health on issues being considered by the Health Committee in its inquiry. As part of this advice, NEAC recommended a review of the cross-</w:t>
      </w:r>
      <w:proofErr w:type="spellStart"/>
      <w:r w:rsidRPr="00B16018">
        <w:rPr>
          <w:sz w:val="24"/>
          <w:szCs w:val="24"/>
        </w:rPr>
        <w:t>sectoral</w:t>
      </w:r>
      <w:proofErr w:type="spellEnd"/>
      <w:r w:rsidRPr="00B16018">
        <w:rPr>
          <w:sz w:val="24"/>
          <w:szCs w:val="24"/>
        </w:rPr>
        <w:t xml:space="preserve"> ethics arrangements, stating </w:t>
      </w:r>
      <w:proofErr w:type="gramStart"/>
      <w:r w:rsidRPr="00B16018">
        <w:rPr>
          <w:sz w:val="24"/>
          <w:szCs w:val="24"/>
        </w:rPr>
        <w:t>that,</w:t>
      </w:r>
      <w:proofErr w:type="gramEnd"/>
      <w:r w:rsidRPr="00B16018">
        <w:rPr>
          <w:sz w:val="24"/>
          <w:szCs w:val="24"/>
        </w:rPr>
        <w:t xml:space="preserve"> overall, there is significant potential for the many sources of ethics committee standards and accountabilities to produce overlaps, inconsistencies, and related practical issues.  </w:t>
      </w:r>
    </w:p>
    <w:p w:rsidR="00CE08DE" w:rsidRPr="00B16018" w:rsidRDefault="00CE08DE" w:rsidP="00CE08DE">
      <w:pPr>
        <w:pStyle w:val="Number"/>
        <w:keepNext/>
        <w:tabs>
          <w:tab w:val="clear" w:pos="360"/>
        </w:tabs>
        <w:spacing w:before="0"/>
        <w:rPr>
          <w:sz w:val="24"/>
          <w:szCs w:val="24"/>
        </w:rPr>
      </w:pPr>
    </w:p>
    <w:p w:rsidR="009466C0" w:rsidRDefault="009466C0" w:rsidP="00CE08DE">
      <w:pPr>
        <w:pStyle w:val="NEACbullet"/>
        <w:tabs>
          <w:tab w:val="clear" w:pos="720"/>
        </w:tabs>
        <w:spacing w:before="0"/>
        <w:ind w:left="0" w:firstLine="0"/>
      </w:pPr>
      <w:r>
        <w:t xml:space="preserve">NEAC is </w:t>
      </w:r>
      <w:r w:rsidRPr="00B16018">
        <w:t xml:space="preserve">aware that the </w:t>
      </w:r>
      <w:r w:rsidRPr="00A67A48">
        <w:t>research community continues to express concern about the absence of a comprehensive fram</w:t>
      </w:r>
      <w:r w:rsidR="00CE08DE">
        <w:t xml:space="preserve">ework for all research bodies. </w:t>
      </w:r>
      <w:r w:rsidRPr="00A67A48">
        <w:t>This is considered particularly important given the changes to HDECs</w:t>
      </w:r>
      <w:r w:rsidR="00CE08DE">
        <w:t xml:space="preserve"> in 2012</w:t>
      </w:r>
      <w:r w:rsidRPr="00A67A48">
        <w:t>.</w:t>
      </w:r>
      <w:r w:rsidR="00CE08DE">
        <w:t xml:space="preserve"> </w:t>
      </w:r>
      <w:r w:rsidR="00A67A48" w:rsidRPr="00B16018">
        <w:t>These changes included</w:t>
      </w:r>
      <w:r w:rsidR="00A67A48">
        <w:t xml:space="preserve"> new </w:t>
      </w:r>
      <w:r w:rsidR="00CE08DE">
        <w:t>standard operating procedures</w:t>
      </w:r>
      <w:r w:rsidR="001E7BC7">
        <w:t xml:space="preserve"> (SOPs)</w:t>
      </w:r>
      <w:r w:rsidR="00A67A48">
        <w:t xml:space="preserve"> to better define the HDEC review process, an online application process</w:t>
      </w:r>
      <w:r w:rsidR="00C24A5C">
        <w:t>, changes to the scope of what HDECs review</w:t>
      </w:r>
      <w:r w:rsidR="00A67A48">
        <w:t xml:space="preserve"> and a reduction in the number and size of HDECs.  </w:t>
      </w:r>
    </w:p>
    <w:p w:rsidR="00CE08DE" w:rsidRPr="00A67A48" w:rsidRDefault="00CE08DE" w:rsidP="00CE08DE">
      <w:pPr>
        <w:pStyle w:val="NEACbullet"/>
        <w:tabs>
          <w:tab w:val="clear" w:pos="720"/>
        </w:tabs>
        <w:spacing w:before="0"/>
        <w:ind w:left="0" w:firstLine="0"/>
      </w:pPr>
    </w:p>
    <w:p w:rsidR="009466C0" w:rsidRPr="00EA6EEB" w:rsidRDefault="009466C0" w:rsidP="00CE08DE">
      <w:pPr>
        <w:pStyle w:val="Heading3"/>
        <w:spacing w:before="0" w:line="240" w:lineRule="auto"/>
      </w:pPr>
      <w:r w:rsidRPr="00EA6EEB">
        <w:t>Development of this document</w:t>
      </w:r>
    </w:p>
    <w:p w:rsidR="00CE08DE" w:rsidRDefault="00CE08DE" w:rsidP="00CE08DE">
      <w:pPr>
        <w:pStyle w:val="NEACbullet"/>
        <w:tabs>
          <w:tab w:val="clear" w:pos="720"/>
        </w:tabs>
        <w:spacing w:before="0"/>
        <w:ind w:left="0" w:firstLine="0"/>
      </w:pPr>
    </w:p>
    <w:p w:rsidR="009466C0" w:rsidRDefault="009466C0" w:rsidP="00CE08DE">
      <w:pPr>
        <w:pStyle w:val="NEACbullet"/>
        <w:tabs>
          <w:tab w:val="clear" w:pos="720"/>
        </w:tabs>
        <w:spacing w:before="0"/>
        <w:ind w:left="0" w:firstLine="0"/>
      </w:pPr>
      <w:r>
        <w:t>As the first step in this review, NEAC undertook an environmental scan of the research ethi</w:t>
      </w:r>
      <w:r w:rsidR="00CE08DE">
        <w:t xml:space="preserve">cs landscape in New Zealand. </w:t>
      </w:r>
      <w:r>
        <w:t>The roles and functions of the various ethics committees and ethics advisory and standard setting bodies</w:t>
      </w:r>
      <w:r w:rsidR="00CE08DE">
        <w:t xml:space="preserve"> are summarised in Appendix 1. </w:t>
      </w:r>
      <w:r>
        <w:t xml:space="preserve">NEAC also reviewed ethics arrangements in Australia and the United Kingdom and, where helpful, international practices are discussed in this document.  </w:t>
      </w:r>
    </w:p>
    <w:p w:rsidR="00CE08DE" w:rsidRDefault="00CE08DE" w:rsidP="00CE08DE">
      <w:pPr>
        <w:pStyle w:val="NEACbullet"/>
        <w:tabs>
          <w:tab w:val="clear" w:pos="720"/>
        </w:tabs>
        <w:spacing w:before="0"/>
        <w:ind w:left="0" w:firstLine="0"/>
      </w:pPr>
    </w:p>
    <w:p w:rsidR="009466C0" w:rsidRDefault="009466C0" w:rsidP="00CE08DE">
      <w:pPr>
        <w:pStyle w:val="NEACbullet"/>
        <w:tabs>
          <w:tab w:val="clear" w:pos="720"/>
        </w:tabs>
        <w:spacing w:before="0"/>
        <w:ind w:left="0" w:firstLine="0"/>
      </w:pPr>
      <w:r>
        <w:t>In 2013, NEAC met with a limited range of stakeholders to inform its work</w:t>
      </w:r>
      <w:r w:rsidR="00A67A48">
        <w:t xml:space="preserve"> (see Appendix 2)</w:t>
      </w:r>
      <w:r w:rsidR="00CE08DE">
        <w:t xml:space="preserve">. </w:t>
      </w:r>
      <w:r>
        <w:t xml:space="preserve">These meetings sought to identify the ongoing issues for ethical review and gather views on how to address these issues, including who has a role, or would be appropriately placed, to resolve these issues. </w:t>
      </w:r>
      <w:r w:rsidR="00511FC3">
        <w:t>NEAC recognises that there are likely to be other issues that were not identified through this process and looks forward to hearing about these through th</w:t>
      </w:r>
      <w:r w:rsidR="00E52C92">
        <w:t>e</w:t>
      </w:r>
      <w:r w:rsidR="00511FC3">
        <w:t xml:space="preserve"> consultation process. </w:t>
      </w:r>
    </w:p>
    <w:p w:rsidR="00E77C90" w:rsidRDefault="00E77C90">
      <w:pPr>
        <w:rPr>
          <w:rFonts w:asciiTheme="majorHAnsi" w:eastAsiaTheme="majorEastAsia" w:hAnsiTheme="majorHAnsi" w:cstheme="majorBidi"/>
          <w:b/>
          <w:bCs/>
          <w:color w:val="365F91" w:themeColor="accent1" w:themeShade="BF"/>
          <w:sz w:val="28"/>
          <w:szCs w:val="28"/>
        </w:rPr>
      </w:pPr>
      <w:r>
        <w:br w:type="page"/>
      </w:r>
    </w:p>
    <w:p w:rsidR="009466C0" w:rsidRDefault="009466C0" w:rsidP="00CE08DE">
      <w:pPr>
        <w:pStyle w:val="Heading1"/>
        <w:spacing w:before="0" w:line="240" w:lineRule="auto"/>
      </w:pPr>
      <w:bookmarkStart w:id="18" w:name="_Toc401587732"/>
      <w:r>
        <w:t>Scope of this review</w:t>
      </w:r>
      <w:bookmarkEnd w:id="18"/>
      <w:r>
        <w:t xml:space="preserve"> </w:t>
      </w:r>
    </w:p>
    <w:p w:rsidR="00CE08DE" w:rsidRDefault="00CE08DE" w:rsidP="00CE08DE">
      <w:pPr>
        <w:pStyle w:val="NEACbodypara"/>
        <w:spacing w:before="0"/>
        <w:rPr>
          <w:rFonts w:ascii="Arial" w:eastAsiaTheme="minorHAnsi" w:hAnsi="Arial" w:cstheme="minorBidi"/>
          <w:szCs w:val="22"/>
          <w:lang w:eastAsia="en-US"/>
        </w:rPr>
      </w:pPr>
    </w:p>
    <w:p w:rsidR="009466C0" w:rsidRDefault="009466C0" w:rsidP="00CE08DE">
      <w:pPr>
        <w:pStyle w:val="NEACbodypara"/>
        <w:spacing w:before="0"/>
      </w:pPr>
      <w:r w:rsidRPr="00212168">
        <w:t>Th</w:t>
      </w:r>
      <w:r>
        <w:t>is discussion document</w:t>
      </w:r>
      <w:r w:rsidRPr="00212168">
        <w:t xml:space="preserve"> focus</w:t>
      </w:r>
      <w:r>
        <w:t>es</w:t>
      </w:r>
      <w:r w:rsidRPr="00212168">
        <w:t xml:space="preserve"> on:</w:t>
      </w:r>
    </w:p>
    <w:p w:rsidR="00CE08DE" w:rsidRPr="00E233A5" w:rsidRDefault="00CE08DE" w:rsidP="00CE08DE">
      <w:pPr>
        <w:pStyle w:val="NEACbodypara"/>
        <w:spacing w:before="0"/>
      </w:pPr>
    </w:p>
    <w:p w:rsidR="006965F5" w:rsidRDefault="006965F5" w:rsidP="006965F5">
      <w:pPr>
        <w:pStyle w:val="NEACbodypara"/>
        <w:numPr>
          <w:ilvl w:val="0"/>
          <w:numId w:val="21"/>
        </w:numPr>
        <w:spacing w:before="0"/>
      </w:pPr>
      <w:r w:rsidRPr="00212168">
        <w:t>health and disabili</w:t>
      </w:r>
      <w:r>
        <w:t>ty research</w:t>
      </w:r>
      <w:r w:rsidRPr="00212168">
        <w:t xml:space="preserve"> – it </w:t>
      </w:r>
      <w:r>
        <w:t>does not discuss other health and disability services or research that is not health or disability-related</w:t>
      </w:r>
    </w:p>
    <w:p w:rsidR="006965F5" w:rsidRDefault="006965F5" w:rsidP="006965F5">
      <w:pPr>
        <w:pStyle w:val="NEACbodypara"/>
        <w:spacing w:before="0"/>
        <w:ind w:left="720"/>
      </w:pPr>
    </w:p>
    <w:p w:rsidR="009466C0" w:rsidRDefault="009466C0" w:rsidP="00CE08DE">
      <w:pPr>
        <w:pStyle w:val="NEACbodypara"/>
        <w:numPr>
          <w:ilvl w:val="0"/>
          <w:numId w:val="21"/>
        </w:numPr>
        <w:spacing w:before="0"/>
      </w:pPr>
      <w:proofErr w:type="gramStart"/>
      <w:r w:rsidRPr="00212168">
        <w:t>governance</w:t>
      </w:r>
      <w:proofErr w:type="gramEnd"/>
      <w:r w:rsidRPr="00212168">
        <w:t xml:space="preserve"> arrangements for </w:t>
      </w:r>
      <w:r>
        <w:t xml:space="preserve">health and disability </w:t>
      </w:r>
      <w:r w:rsidRPr="00212168">
        <w:t xml:space="preserve">research ethics – it </w:t>
      </w:r>
      <w:r>
        <w:t xml:space="preserve">does </w:t>
      </w:r>
      <w:r w:rsidRPr="00212168">
        <w:t xml:space="preserve">not discuss </w:t>
      </w:r>
      <w:r>
        <w:t>governance arrangements for other aspects of health and disability research</w:t>
      </w:r>
      <w:r w:rsidR="006965F5">
        <w:t>.</w:t>
      </w:r>
    </w:p>
    <w:p w:rsidR="00CE08DE" w:rsidRPr="00212168" w:rsidRDefault="00CE08DE" w:rsidP="00CE08DE">
      <w:pPr>
        <w:pStyle w:val="NEACbodypara"/>
        <w:spacing w:before="0"/>
        <w:ind w:left="720"/>
      </w:pPr>
    </w:p>
    <w:p w:rsidR="000056BC" w:rsidRDefault="000056BC" w:rsidP="00CE08DE">
      <w:pPr>
        <w:spacing w:after="0"/>
        <w:rPr>
          <w:rFonts w:asciiTheme="majorHAnsi" w:eastAsiaTheme="majorEastAsia" w:hAnsiTheme="majorHAnsi" w:cstheme="majorBidi"/>
          <w:b/>
          <w:bCs/>
          <w:color w:val="365F91" w:themeColor="accent1" w:themeShade="BF"/>
          <w:sz w:val="28"/>
          <w:szCs w:val="28"/>
        </w:rPr>
      </w:pPr>
      <w:r>
        <w:br w:type="page"/>
      </w:r>
    </w:p>
    <w:p w:rsidR="006556C4" w:rsidRPr="001B4676" w:rsidRDefault="006556C4" w:rsidP="00CE08DE">
      <w:pPr>
        <w:pStyle w:val="Heading1"/>
        <w:spacing w:before="0"/>
      </w:pPr>
      <w:bookmarkStart w:id="19" w:name="_Toc401587733"/>
      <w:r>
        <w:t>Issues for discussion</w:t>
      </w:r>
      <w:bookmarkEnd w:id="19"/>
      <w:r>
        <w:t xml:space="preserve"> </w:t>
      </w:r>
    </w:p>
    <w:p w:rsidR="00CE08DE" w:rsidRDefault="00CE08DE" w:rsidP="00CE08DE">
      <w:pPr>
        <w:pStyle w:val="Number"/>
        <w:keepNext/>
        <w:tabs>
          <w:tab w:val="clear" w:pos="360"/>
        </w:tabs>
        <w:spacing w:before="0"/>
        <w:rPr>
          <w:sz w:val="24"/>
          <w:szCs w:val="24"/>
        </w:rPr>
      </w:pPr>
    </w:p>
    <w:p w:rsidR="00CE08DE" w:rsidRDefault="003B38AD" w:rsidP="00CE08DE">
      <w:pPr>
        <w:pStyle w:val="Number"/>
        <w:keepNext/>
        <w:tabs>
          <w:tab w:val="clear" w:pos="360"/>
        </w:tabs>
        <w:spacing w:before="0"/>
        <w:rPr>
          <w:sz w:val="24"/>
          <w:szCs w:val="24"/>
        </w:rPr>
      </w:pPr>
      <w:r w:rsidRPr="004E2D85">
        <w:rPr>
          <w:sz w:val="24"/>
          <w:szCs w:val="24"/>
        </w:rPr>
        <w:t xml:space="preserve">This section outlines </w:t>
      </w:r>
      <w:r w:rsidR="000F2922">
        <w:rPr>
          <w:sz w:val="24"/>
          <w:szCs w:val="24"/>
        </w:rPr>
        <w:t xml:space="preserve">issues associated with </w:t>
      </w:r>
      <w:r w:rsidR="00571B34">
        <w:rPr>
          <w:sz w:val="24"/>
          <w:szCs w:val="24"/>
        </w:rPr>
        <w:t>six</w:t>
      </w:r>
      <w:r w:rsidR="000F2922">
        <w:rPr>
          <w:sz w:val="24"/>
          <w:szCs w:val="24"/>
        </w:rPr>
        <w:t xml:space="preserve"> aspects of the cross-</w:t>
      </w:r>
      <w:proofErr w:type="spellStart"/>
      <w:r w:rsidR="000F2922">
        <w:rPr>
          <w:sz w:val="24"/>
          <w:szCs w:val="24"/>
        </w:rPr>
        <w:t>sectoral</w:t>
      </w:r>
      <w:proofErr w:type="spellEnd"/>
      <w:r w:rsidR="000F2922">
        <w:rPr>
          <w:sz w:val="24"/>
          <w:szCs w:val="24"/>
        </w:rPr>
        <w:t xml:space="preserve"> research ethics arrangements.  </w:t>
      </w:r>
    </w:p>
    <w:p w:rsidR="00CE08DE" w:rsidRDefault="00CE08DE" w:rsidP="00CE08DE">
      <w:pPr>
        <w:pStyle w:val="Number"/>
        <w:keepNext/>
        <w:tabs>
          <w:tab w:val="clear" w:pos="360"/>
        </w:tabs>
        <w:spacing w:before="0"/>
        <w:rPr>
          <w:sz w:val="24"/>
          <w:szCs w:val="24"/>
        </w:rPr>
      </w:pPr>
    </w:p>
    <w:p w:rsidR="00CB522C" w:rsidRDefault="000F2922" w:rsidP="00CE08DE">
      <w:pPr>
        <w:pStyle w:val="Number"/>
        <w:keepNext/>
        <w:numPr>
          <w:ilvl w:val="0"/>
          <w:numId w:val="35"/>
        </w:numPr>
        <w:spacing w:before="0"/>
        <w:rPr>
          <w:sz w:val="24"/>
          <w:szCs w:val="24"/>
        </w:rPr>
      </w:pPr>
      <w:r>
        <w:rPr>
          <w:sz w:val="24"/>
          <w:szCs w:val="24"/>
        </w:rPr>
        <w:t>Complex</w:t>
      </w:r>
      <w:r w:rsidR="00CB522C">
        <w:rPr>
          <w:sz w:val="24"/>
          <w:szCs w:val="24"/>
        </w:rPr>
        <w:t xml:space="preserve"> </w:t>
      </w:r>
      <w:r w:rsidR="002A4D7D">
        <w:rPr>
          <w:sz w:val="24"/>
          <w:szCs w:val="24"/>
        </w:rPr>
        <w:t xml:space="preserve">research ethics </w:t>
      </w:r>
      <w:r w:rsidR="00CB522C">
        <w:rPr>
          <w:sz w:val="24"/>
          <w:szCs w:val="24"/>
        </w:rPr>
        <w:t>landscape</w:t>
      </w:r>
      <w:r w:rsidR="001E7BC7">
        <w:rPr>
          <w:sz w:val="24"/>
          <w:szCs w:val="24"/>
        </w:rPr>
        <w:br/>
      </w:r>
    </w:p>
    <w:p w:rsidR="00571B34" w:rsidRDefault="00571B34" w:rsidP="00CE08DE">
      <w:pPr>
        <w:pStyle w:val="Number"/>
        <w:keepNext/>
        <w:numPr>
          <w:ilvl w:val="0"/>
          <w:numId w:val="35"/>
        </w:numPr>
        <w:spacing w:before="0"/>
        <w:rPr>
          <w:sz w:val="24"/>
          <w:szCs w:val="24"/>
        </w:rPr>
      </w:pPr>
      <w:r>
        <w:rPr>
          <w:sz w:val="24"/>
          <w:szCs w:val="24"/>
        </w:rPr>
        <w:t>M</w:t>
      </w:r>
      <w:r>
        <w:rPr>
          <w:rFonts w:cs="Arial"/>
          <w:sz w:val="24"/>
          <w:szCs w:val="24"/>
        </w:rPr>
        <w:t>ā</w:t>
      </w:r>
      <w:r>
        <w:rPr>
          <w:sz w:val="24"/>
          <w:szCs w:val="24"/>
        </w:rPr>
        <w:t>ori and health research</w:t>
      </w:r>
    </w:p>
    <w:p w:rsidR="00CE08DE" w:rsidRDefault="00CE08DE" w:rsidP="00CE08DE">
      <w:pPr>
        <w:pStyle w:val="Number"/>
        <w:keepNext/>
        <w:tabs>
          <w:tab w:val="clear" w:pos="360"/>
        </w:tabs>
        <w:spacing w:before="0"/>
        <w:ind w:left="644"/>
        <w:rPr>
          <w:sz w:val="24"/>
          <w:szCs w:val="24"/>
        </w:rPr>
      </w:pPr>
    </w:p>
    <w:p w:rsidR="00CB522C" w:rsidRDefault="00CB522C" w:rsidP="00CE08DE">
      <w:pPr>
        <w:pStyle w:val="Number"/>
        <w:keepNext/>
        <w:numPr>
          <w:ilvl w:val="0"/>
          <w:numId w:val="35"/>
        </w:numPr>
        <w:spacing w:before="0"/>
        <w:rPr>
          <w:sz w:val="24"/>
          <w:szCs w:val="24"/>
        </w:rPr>
      </w:pPr>
      <w:r>
        <w:rPr>
          <w:sz w:val="24"/>
          <w:szCs w:val="24"/>
        </w:rPr>
        <w:t>Alternative ethical review structures</w:t>
      </w:r>
    </w:p>
    <w:p w:rsidR="00CE08DE" w:rsidRDefault="00CE08DE" w:rsidP="00CE08DE">
      <w:pPr>
        <w:pStyle w:val="Number"/>
        <w:keepNext/>
        <w:tabs>
          <w:tab w:val="clear" w:pos="360"/>
        </w:tabs>
        <w:spacing w:before="0"/>
        <w:rPr>
          <w:sz w:val="24"/>
          <w:szCs w:val="24"/>
        </w:rPr>
      </w:pPr>
    </w:p>
    <w:p w:rsidR="00CB522C" w:rsidRDefault="00CB522C" w:rsidP="00CE08DE">
      <w:pPr>
        <w:pStyle w:val="Number"/>
        <w:keepNext/>
        <w:numPr>
          <w:ilvl w:val="0"/>
          <w:numId w:val="35"/>
        </w:numPr>
        <w:spacing w:before="0"/>
        <w:rPr>
          <w:sz w:val="24"/>
          <w:szCs w:val="24"/>
        </w:rPr>
      </w:pPr>
      <w:r>
        <w:rPr>
          <w:sz w:val="24"/>
          <w:szCs w:val="24"/>
        </w:rPr>
        <w:t>Peer review</w:t>
      </w:r>
      <w:r w:rsidR="002A4D7D">
        <w:rPr>
          <w:sz w:val="24"/>
          <w:szCs w:val="24"/>
        </w:rPr>
        <w:t xml:space="preserve"> for scientific validity</w:t>
      </w:r>
    </w:p>
    <w:p w:rsidR="00CE08DE" w:rsidRDefault="00CE08DE" w:rsidP="00CE08DE">
      <w:pPr>
        <w:pStyle w:val="Number"/>
        <w:keepNext/>
        <w:tabs>
          <w:tab w:val="clear" w:pos="360"/>
        </w:tabs>
        <w:spacing w:before="0"/>
        <w:ind w:left="644"/>
        <w:rPr>
          <w:sz w:val="24"/>
          <w:szCs w:val="24"/>
        </w:rPr>
      </w:pPr>
    </w:p>
    <w:p w:rsidR="00CB522C" w:rsidRDefault="00CB522C" w:rsidP="00CE08DE">
      <w:pPr>
        <w:pStyle w:val="Number"/>
        <w:keepNext/>
        <w:numPr>
          <w:ilvl w:val="0"/>
          <w:numId w:val="35"/>
        </w:numPr>
        <w:spacing w:before="0"/>
        <w:rPr>
          <w:sz w:val="24"/>
          <w:szCs w:val="24"/>
        </w:rPr>
      </w:pPr>
      <w:r>
        <w:rPr>
          <w:sz w:val="24"/>
          <w:szCs w:val="24"/>
        </w:rPr>
        <w:t>Audit</w:t>
      </w:r>
      <w:r w:rsidR="002A4D7D">
        <w:rPr>
          <w:sz w:val="24"/>
          <w:szCs w:val="24"/>
        </w:rPr>
        <w:t xml:space="preserve"> and audit-related activity</w:t>
      </w:r>
    </w:p>
    <w:p w:rsidR="00CE08DE" w:rsidRDefault="00CE08DE" w:rsidP="00CE08DE">
      <w:pPr>
        <w:pStyle w:val="Number"/>
        <w:keepNext/>
        <w:tabs>
          <w:tab w:val="clear" w:pos="360"/>
        </w:tabs>
        <w:spacing w:before="0"/>
        <w:rPr>
          <w:sz w:val="24"/>
          <w:szCs w:val="24"/>
        </w:rPr>
      </w:pPr>
    </w:p>
    <w:p w:rsidR="00CB522C" w:rsidRDefault="00CB522C" w:rsidP="00CE08DE">
      <w:pPr>
        <w:pStyle w:val="Number"/>
        <w:keepNext/>
        <w:numPr>
          <w:ilvl w:val="0"/>
          <w:numId w:val="35"/>
        </w:numPr>
        <w:spacing w:before="0"/>
        <w:rPr>
          <w:sz w:val="24"/>
          <w:szCs w:val="24"/>
        </w:rPr>
      </w:pPr>
      <w:r>
        <w:rPr>
          <w:sz w:val="24"/>
          <w:szCs w:val="24"/>
        </w:rPr>
        <w:t>Innovative practice</w:t>
      </w:r>
    </w:p>
    <w:p w:rsidR="00CE08DE" w:rsidRDefault="00CE08DE" w:rsidP="00CE08DE">
      <w:pPr>
        <w:pStyle w:val="Number"/>
        <w:keepNext/>
        <w:tabs>
          <w:tab w:val="clear" w:pos="360"/>
        </w:tabs>
        <w:spacing w:before="0"/>
        <w:rPr>
          <w:sz w:val="24"/>
          <w:szCs w:val="24"/>
        </w:rPr>
      </w:pPr>
    </w:p>
    <w:p w:rsidR="00CB522C" w:rsidRPr="00F907D8" w:rsidRDefault="000F2922" w:rsidP="00CE08DE">
      <w:pPr>
        <w:pStyle w:val="Number"/>
        <w:keepNext/>
        <w:tabs>
          <w:tab w:val="clear" w:pos="360"/>
        </w:tabs>
        <w:spacing w:before="0"/>
        <w:rPr>
          <w:rFonts w:cs="Arial"/>
          <w:sz w:val="24"/>
          <w:szCs w:val="24"/>
        </w:rPr>
      </w:pPr>
      <w:r>
        <w:rPr>
          <w:rFonts w:eastAsia="Calibri" w:cs="Arial"/>
          <w:sz w:val="24"/>
          <w:szCs w:val="24"/>
          <w:lang w:eastAsia="en-US"/>
        </w:rPr>
        <w:t xml:space="preserve">Under each section there is a discussion of the current ethics arrangements, issues </w:t>
      </w:r>
      <w:r w:rsidR="00CB522C" w:rsidRPr="00F907D8">
        <w:rPr>
          <w:rFonts w:cs="Arial"/>
          <w:sz w:val="24"/>
          <w:szCs w:val="24"/>
        </w:rPr>
        <w:t xml:space="preserve">with these </w:t>
      </w:r>
      <w:r w:rsidR="00CB522C">
        <w:rPr>
          <w:rFonts w:cs="Arial"/>
          <w:sz w:val="24"/>
          <w:szCs w:val="24"/>
        </w:rPr>
        <w:t>a</w:t>
      </w:r>
      <w:r w:rsidR="00CB522C" w:rsidRPr="00F907D8">
        <w:rPr>
          <w:rFonts w:cs="Arial"/>
          <w:sz w:val="24"/>
          <w:szCs w:val="24"/>
        </w:rPr>
        <w:t>rrangements</w:t>
      </w:r>
      <w:r>
        <w:rPr>
          <w:rFonts w:cs="Arial"/>
          <w:sz w:val="24"/>
          <w:szCs w:val="24"/>
        </w:rPr>
        <w:t xml:space="preserve">, current and other possible responses, and questions for feedback.  </w:t>
      </w:r>
    </w:p>
    <w:p w:rsidR="00CB522C" w:rsidRDefault="00CB522C">
      <w:pPr>
        <w:rPr>
          <w:rFonts w:eastAsia="Times New Roman" w:cs="Arial"/>
          <w:szCs w:val="24"/>
          <w:lang w:eastAsia="en-GB"/>
        </w:rPr>
      </w:pPr>
      <w:r>
        <w:rPr>
          <w:rFonts w:cs="Arial"/>
          <w:szCs w:val="24"/>
        </w:rPr>
        <w:br w:type="page"/>
      </w:r>
    </w:p>
    <w:p w:rsidR="009466C0" w:rsidRDefault="009466C0" w:rsidP="00CE08DE">
      <w:pPr>
        <w:pStyle w:val="Heading2"/>
        <w:numPr>
          <w:ilvl w:val="0"/>
          <w:numId w:val="17"/>
        </w:numPr>
        <w:spacing w:before="0" w:line="240" w:lineRule="auto"/>
      </w:pPr>
      <w:bookmarkStart w:id="20" w:name="_Toc401587734"/>
      <w:r>
        <w:t>Complex research ethics landscape</w:t>
      </w:r>
      <w:bookmarkEnd w:id="20"/>
    </w:p>
    <w:p w:rsidR="00F917BB" w:rsidRDefault="00F917BB" w:rsidP="00F917BB">
      <w:pPr>
        <w:spacing w:after="0" w:line="240" w:lineRule="auto"/>
      </w:pPr>
    </w:p>
    <w:p w:rsidR="009466C0" w:rsidRPr="003B38AD" w:rsidRDefault="009466C0" w:rsidP="00CE08DE">
      <w:pPr>
        <w:pStyle w:val="Heading3"/>
        <w:spacing w:before="0" w:line="240" w:lineRule="auto"/>
      </w:pPr>
      <w:r>
        <w:t>1.1</w:t>
      </w:r>
      <w:r>
        <w:tab/>
      </w:r>
      <w:r w:rsidRPr="003B38AD">
        <w:t xml:space="preserve">Current ethics arrangements </w:t>
      </w:r>
    </w:p>
    <w:p w:rsidR="00F917BB" w:rsidRDefault="00F917BB" w:rsidP="00F917BB">
      <w:pPr>
        <w:spacing w:after="0" w:line="240" w:lineRule="auto"/>
      </w:pPr>
    </w:p>
    <w:p w:rsidR="009466C0" w:rsidRPr="00A978AB" w:rsidRDefault="009466C0" w:rsidP="00CE08DE">
      <w:pPr>
        <w:pStyle w:val="Heading3"/>
        <w:spacing w:before="0" w:line="240" w:lineRule="auto"/>
      </w:pPr>
      <w:r w:rsidRPr="003C5303">
        <w:t>Overall responsibility</w:t>
      </w:r>
    </w:p>
    <w:p w:rsidR="009466C0" w:rsidRDefault="009466C0" w:rsidP="00CE08DE">
      <w:pPr>
        <w:spacing w:after="0" w:line="240" w:lineRule="auto"/>
        <w:rPr>
          <w:rFonts w:cs="Arial"/>
        </w:rPr>
      </w:pPr>
    </w:p>
    <w:p w:rsidR="009466C0" w:rsidRPr="007F1CD4" w:rsidRDefault="009466C0" w:rsidP="00CE08DE">
      <w:pPr>
        <w:spacing w:after="0" w:line="240" w:lineRule="auto"/>
        <w:rPr>
          <w:rFonts w:cs="Arial"/>
        </w:rPr>
      </w:pPr>
      <w:r>
        <w:rPr>
          <w:rFonts w:cs="Arial"/>
        </w:rPr>
        <w:t xml:space="preserve">There is no </w:t>
      </w:r>
      <w:r w:rsidRPr="000A097D">
        <w:rPr>
          <w:rFonts w:cs="Arial"/>
        </w:rPr>
        <w:t xml:space="preserve">single body in New Zealand </w:t>
      </w:r>
      <w:r>
        <w:rPr>
          <w:rFonts w:cs="Arial"/>
        </w:rPr>
        <w:t xml:space="preserve">with overall </w:t>
      </w:r>
      <w:r w:rsidRPr="000A097D">
        <w:rPr>
          <w:rFonts w:cs="Arial"/>
        </w:rPr>
        <w:t>responsib</w:t>
      </w:r>
      <w:r>
        <w:rPr>
          <w:rFonts w:cs="Arial"/>
        </w:rPr>
        <w:t xml:space="preserve">ility </w:t>
      </w:r>
      <w:r w:rsidRPr="000A097D">
        <w:rPr>
          <w:rFonts w:cs="Arial"/>
        </w:rPr>
        <w:t>for the ethical review process for he</w:t>
      </w:r>
      <w:r>
        <w:rPr>
          <w:rFonts w:cs="Arial"/>
        </w:rPr>
        <w:t>alth and disability research</w:t>
      </w:r>
      <w:r w:rsidRPr="00812EFF">
        <w:rPr>
          <w:rFonts w:cs="Arial"/>
        </w:rPr>
        <w:t xml:space="preserve">. </w:t>
      </w:r>
      <w:r w:rsidR="00E33DB7">
        <w:rPr>
          <w:rFonts w:cs="Arial"/>
        </w:rPr>
        <w:t xml:space="preserve">The ethical review </w:t>
      </w:r>
      <w:r w:rsidR="00F22DCE">
        <w:rPr>
          <w:rFonts w:cs="Arial"/>
        </w:rPr>
        <w:t xml:space="preserve">process is </w:t>
      </w:r>
      <w:r w:rsidR="00E33DB7">
        <w:rPr>
          <w:rFonts w:cs="Arial"/>
        </w:rPr>
        <w:t xml:space="preserve">characterised by a complex set of relationships and responsibilities across a range of organisations.  </w:t>
      </w:r>
    </w:p>
    <w:p w:rsidR="00F917BB" w:rsidRDefault="00F917BB" w:rsidP="00F917BB">
      <w:pPr>
        <w:spacing w:after="0" w:line="240" w:lineRule="auto"/>
      </w:pPr>
    </w:p>
    <w:p w:rsidR="009466C0" w:rsidRDefault="009466C0" w:rsidP="00CE08DE">
      <w:pPr>
        <w:pStyle w:val="Heading3"/>
        <w:spacing w:before="0" w:line="240" w:lineRule="auto"/>
      </w:pPr>
      <w:r w:rsidRPr="003C5303">
        <w:t xml:space="preserve">Ethical approval process </w:t>
      </w:r>
    </w:p>
    <w:p w:rsidR="009466C0" w:rsidRDefault="009466C0" w:rsidP="00CE08DE">
      <w:pPr>
        <w:autoSpaceDE w:val="0"/>
        <w:autoSpaceDN w:val="0"/>
        <w:adjustRightInd w:val="0"/>
        <w:spacing w:after="0" w:line="240" w:lineRule="auto"/>
        <w:rPr>
          <w:rFonts w:ascii="ArialMäori" w:hAnsi="ArialMäori" w:cs="ArialMäori"/>
          <w:szCs w:val="24"/>
        </w:rPr>
      </w:pPr>
    </w:p>
    <w:p w:rsidR="009466C0" w:rsidRDefault="009466C0" w:rsidP="00CE08DE">
      <w:pPr>
        <w:autoSpaceDE w:val="0"/>
        <w:autoSpaceDN w:val="0"/>
        <w:adjustRightInd w:val="0"/>
        <w:spacing w:after="0" w:line="240" w:lineRule="auto"/>
        <w:rPr>
          <w:rFonts w:ascii="ArialMäori" w:hAnsi="ArialMäori" w:cs="ArialMäori"/>
          <w:szCs w:val="24"/>
        </w:rPr>
      </w:pPr>
      <w:r>
        <w:rPr>
          <w:rFonts w:ascii="ArialMäori" w:hAnsi="ArialMäori" w:cs="ArialMäori"/>
          <w:szCs w:val="24"/>
        </w:rPr>
        <w:t>New Zealand has a mix of publicly funded ethics review committees established under statute (</w:t>
      </w:r>
      <w:proofErr w:type="spellStart"/>
      <w:r>
        <w:rPr>
          <w:rFonts w:ascii="ArialMäori" w:hAnsi="ArialMäori" w:cs="ArialMäori"/>
          <w:szCs w:val="24"/>
        </w:rPr>
        <w:t>eg</w:t>
      </w:r>
      <w:proofErr w:type="spellEnd"/>
      <w:r>
        <w:rPr>
          <w:rFonts w:ascii="ArialMäori" w:hAnsi="ArialMäori" w:cs="ArialMäori"/>
          <w:szCs w:val="24"/>
        </w:rPr>
        <w:t>, HDECs) and ‘institutional’ ethics committees</w:t>
      </w:r>
      <w:r w:rsidR="00C24A5C">
        <w:rPr>
          <w:rFonts w:ascii="ArialMäori" w:hAnsi="ArialMäori" w:cs="ArialMäori"/>
          <w:szCs w:val="24"/>
        </w:rPr>
        <w:t xml:space="preserve"> </w:t>
      </w:r>
      <w:r>
        <w:rPr>
          <w:rFonts w:ascii="ArialMäori" w:hAnsi="ArialMäori" w:cs="ArialMäori"/>
          <w:szCs w:val="24"/>
        </w:rPr>
        <w:t>established by universities, private industry and other research organisations. This means that the ethics review system is significantly cross-</w:t>
      </w:r>
      <w:proofErr w:type="spellStart"/>
      <w:r>
        <w:rPr>
          <w:rFonts w:ascii="ArialMäori" w:hAnsi="ArialMäori" w:cs="ArialMäori"/>
          <w:szCs w:val="24"/>
        </w:rPr>
        <w:t>sectoral</w:t>
      </w:r>
      <w:proofErr w:type="spellEnd"/>
      <w:r>
        <w:rPr>
          <w:rFonts w:ascii="ArialMäori" w:hAnsi="ArialMäori" w:cs="ArialMäori"/>
          <w:szCs w:val="24"/>
        </w:rPr>
        <w:t xml:space="preserve">, spanning health and tertiary education as well as public and private sectors. </w:t>
      </w:r>
      <w:r w:rsidR="00C24A5C">
        <w:rPr>
          <w:rFonts w:ascii="ArialMäori" w:hAnsi="ArialMäori" w:cs="ArialMäori"/>
          <w:szCs w:val="24"/>
        </w:rPr>
        <w:t>Ethical review proces</w:t>
      </w:r>
      <w:r w:rsidR="00CE08DE">
        <w:rPr>
          <w:rFonts w:ascii="ArialMäori" w:hAnsi="ArialMäori" w:cs="ArialMäori"/>
          <w:szCs w:val="24"/>
        </w:rPr>
        <w:t xml:space="preserve">ses may also vary across institutional ethics committees. </w:t>
      </w:r>
      <w:r w:rsidR="00C24A5C">
        <w:rPr>
          <w:rFonts w:ascii="ArialMäori" w:hAnsi="ArialMäori" w:cs="ArialMäori"/>
          <w:szCs w:val="24"/>
        </w:rPr>
        <w:t>For example, students undertaking low risk research at Massey University register with a low risk database, which is audited but not formally assessed b</w:t>
      </w:r>
      <w:r w:rsidR="00CE08DE">
        <w:rPr>
          <w:rFonts w:ascii="ArialMäori" w:hAnsi="ArialMäori" w:cs="ArialMäori"/>
          <w:szCs w:val="24"/>
        </w:rPr>
        <w:t xml:space="preserve">y the Massey Ethics Committee. </w:t>
      </w:r>
      <w:r w:rsidR="00C24A5C">
        <w:rPr>
          <w:rFonts w:ascii="ArialMäori" w:hAnsi="ArialMäori" w:cs="ArialMäori"/>
          <w:szCs w:val="24"/>
        </w:rPr>
        <w:t xml:space="preserve">At </w:t>
      </w:r>
      <w:proofErr w:type="spellStart"/>
      <w:r w:rsidR="00C24A5C">
        <w:rPr>
          <w:rFonts w:ascii="ArialMäori" w:hAnsi="ArialMäori" w:cs="ArialMäori"/>
          <w:szCs w:val="24"/>
        </w:rPr>
        <w:t>Otago</w:t>
      </w:r>
      <w:proofErr w:type="spellEnd"/>
      <w:r w:rsidR="00C24A5C">
        <w:rPr>
          <w:rFonts w:ascii="ArialMäori" w:hAnsi="ArialMäori" w:cs="ArialMäori"/>
          <w:szCs w:val="24"/>
        </w:rPr>
        <w:t xml:space="preserve"> University, low risk research is approved by the Head of Department, and these applications are later reviewed by the </w:t>
      </w:r>
      <w:proofErr w:type="spellStart"/>
      <w:r w:rsidR="00C24A5C">
        <w:rPr>
          <w:rFonts w:ascii="ArialMäori" w:hAnsi="ArialMäori" w:cs="ArialMäori"/>
          <w:szCs w:val="24"/>
        </w:rPr>
        <w:t>Otago</w:t>
      </w:r>
      <w:proofErr w:type="spellEnd"/>
      <w:r w:rsidR="00C24A5C">
        <w:rPr>
          <w:rFonts w:ascii="ArialMäori" w:hAnsi="ArialMäori" w:cs="ArialMäori"/>
          <w:szCs w:val="24"/>
        </w:rPr>
        <w:t xml:space="preserve"> Ethics Committee.  </w:t>
      </w:r>
    </w:p>
    <w:p w:rsidR="00F917BB" w:rsidRDefault="00F917BB" w:rsidP="00F917BB">
      <w:pPr>
        <w:spacing w:after="0" w:line="240" w:lineRule="auto"/>
      </w:pPr>
    </w:p>
    <w:p w:rsidR="009466C0" w:rsidRDefault="009466C0" w:rsidP="00CE08DE">
      <w:pPr>
        <w:pStyle w:val="Heading3"/>
        <w:spacing w:before="0"/>
      </w:pPr>
      <w:r>
        <w:t xml:space="preserve">Guidelines and </w:t>
      </w:r>
      <w:r w:rsidRPr="003C5303">
        <w:t xml:space="preserve">standards </w:t>
      </w:r>
    </w:p>
    <w:p w:rsidR="009466C0" w:rsidRDefault="009466C0" w:rsidP="00CE08DE">
      <w:pPr>
        <w:autoSpaceDE w:val="0"/>
        <w:autoSpaceDN w:val="0"/>
        <w:adjustRightInd w:val="0"/>
        <w:spacing w:after="0" w:line="240" w:lineRule="auto"/>
      </w:pPr>
    </w:p>
    <w:p w:rsidR="009466C0" w:rsidRDefault="009466C0" w:rsidP="00CE08DE">
      <w:pPr>
        <w:autoSpaceDE w:val="0"/>
        <w:autoSpaceDN w:val="0"/>
        <w:adjustRightInd w:val="0"/>
        <w:spacing w:after="0" w:line="240" w:lineRule="auto"/>
        <w:rPr>
          <w:rFonts w:ascii="ArialMäori" w:hAnsi="ArialMäori" w:cs="ArialMäori"/>
          <w:szCs w:val="24"/>
        </w:rPr>
      </w:pPr>
      <w:r>
        <w:rPr>
          <w:rFonts w:ascii="ArialMäori" w:hAnsi="ArialMäori" w:cs="ArialMäori"/>
          <w:szCs w:val="24"/>
        </w:rPr>
        <w:t xml:space="preserve">Standards and guidelines for New Zealand’s ethics approval system are set mainly by health sector organisations including the Ministry of Health, NEAC and </w:t>
      </w:r>
      <w:r w:rsidR="006965F5">
        <w:rPr>
          <w:rFonts w:ascii="ArialMäori" w:hAnsi="ArialMäori" w:cs="ArialMäori"/>
          <w:szCs w:val="24"/>
        </w:rPr>
        <w:t xml:space="preserve">the </w:t>
      </w:r>
      <w:r w:rsidR="00CE08DE">
        <w:rPr>
          <w:rFonts w:ascii="ArialMäori" w:hAnsi="ArialMäori" w:cs="ArialMäori"/>
          <w:szCs w:val="24"/>
        </w:rPr>
        <w:t>Health Research Council (</w:t>
      </w:r>
      <w:r>
        <w:rPr>
          <w:rFonts w:ascii="ArialMäori" w:hAnsi="ArialMäori" w:cs="ArialMäori"/>
          <w:szCs w:val="24"/>
        </w:rPr>
        <w:t>HRC</w:t>
      </w:r>
      <w:r w:rsidR="00CE08DE">
        <w:rPr>
          <w:rFonts w:ascii="ArialMäori" w:hAnsi="ArialMäori" w:cs="ArialMäori"/>
          <w:szCs w:val="24"/>
        </w:rPr>
        <w:t>)</w:t>
      </w:r>
      <w:r>
        <w:rPr>
          <w:rFonts w:ascii="ArialMäori" w:hAnsi="ArialMäori" w:cs="ArialMäori"/>
          <w:szCs w:val="24"/>
        </w:rPr>
        <w:t xml:space="preserve">. Additional standards are set for each </w:t>
      </w:r>
      <w:r w:rsidRPr="00CB3F94">
        <w:rPr>
          <w:rFonts w:ascii="ArialMäori" w:hAnsi="ArialMäori" w:cs="ArialMäori"/>
          <w:szCs w:val="24"/>
        </w:rPr>
        <w:t xml:space="preserve">institutional ethics </w:t>
      </w:r>
      <w:r>
        <w:rPr>
          <w:rFonts w:ascii="ArialMäori" w:hAnsi="ArialMäori" w:cs="ArialMäori"/>
          <w:szCs w:val="24"/>
        </w:rPr>
        <w:t>committee by the parent organisation.</w:t>
      </w:r>
    </w:p>
    <w:p w:rsidR="009466C0" w:rsidRDefault="009466C0" w:rsidP="00CE08DE">
      <w:pPr>
        <w:autoSpaceDE w:val="0"/>
        <w:autoSpaceDN w:val="0"/>
        <w:adjustRightInd w:val="0"/>
        <w:spacing w:after="0" w:line="240" w:lineRule="auto"/>
        <w:rPr>
          <w:rFonts w:ascii="ArialMäori" w:hAnsi="ArialMäori" w:cs="ArialMäori"/>
          <w:szCs w:val="24"/>
        </w:rPr>
      </w:pPr>
    </w:p>
    <w:p w:rsidR="009466C0" w:rsidRPr="00E57CA9" w:rsidRDefault="009466C0" w:rsidP="00CE08DE">
      <w:pPr>
        <w:spacing w:after="0" w:line="240" w:lineRule="auto"/>
        <w:rPr>
          <w:rFonts w:cs="Arial"/>
        </w:rPr>
      </w:pPr>
      <w:r>
        <w:rPr>
          <w:rFonts w:cs="Arial"/>
        </w:rPr>
        <w:t>There are a range of guidelines and standards that researchers need to be aware of when planning and undertaking research</w:t>
      </w:r>
      <w:r w:rsidR="00E52C92">
        <w:rPr>
          <w:rFonts w:cs="Arial"/>
        </w:rPr>
        <w:t xml:space="preserve"> including legislati</w:t>
      </w:r>
      <w:r w:rsidR="00FE7DAA">
        <w:rPr>
          <w:rFonts w:cs="Arial"/>
        </w:rPr>
        <w:t>on</w:t>
      </w:r>
      <w:r w:rsidR="00E52C92">
        <w:rPr>
          <w:rFonts w:cs="Arial"/>
        </w:rPr>
        <w:t>, international statements, codes of conduct and ethical guidelines</w:t>
      </w:r>
      <w:r>
        <w:rPr>
          <w:rFonts w:cs="Arial"/>
        </w:rPr>
        <w:t xml:space="preserve"> (see Appendix </w:t>
      </w:r>
      <w:r w:rsidR="00A67A48">
        <w:rPr>
          <w:rFonts w:cs="Arial"/>
        </w:rPr>
        <w:t>3</w:t>
      </w:r>
      <w:r>
        <w:rPr>
          <w:rFonts w:cs="Arial"/>
        </w:rPr>
        <w:t xml:space="preserve"> for further detail).  </w:t>
      </w:r>
    </w:p>
    <w:p w:rsidR="00F917BB" w:rsidRDefault="00F917BB" w:rsidP="00F917BB">
      <w:pPr>
        <w:spacing w:after="0" w:line="240" w:lineRule="auto"/>
      </w:pPr>
    </w:p>
    <w:p w:rsidR="009466C0" w:rsidRPr="004E2D85" w:rsidRDefault="009466C0" w:rsidP="00CE08DE">
      <w:pPr>
        <w:pStyle w:val="Heading3"/>
        <w:spacing w:before="0" w:line="240" w:lineRule="auto"/>
      </w:pPr>
      <w:r>
        <w:t>1.2</w:t>
      </w:r>
      <w:r>
        <w:tab/>
      </w:r>
      <w:r w:rsidRPr="004E2D85">
        <w:t xml:space="preserve">Issues </w:t>
      </w:r>
    </w:p>
    <w:p w:rsidR="00F917BB" w:rsidRDefault="00F917BB" w:rsidP="00F917BB">
      <w:pPr>
        <w:spacing w:after="0" w:line="240" w:lineRule="auto"/>
      </w:pPr>
    </w:p>
    <w:p w:rsidR="009466C0" w:rsidRDefault="009466C0" w:rsidP="00CE08DE">
      <w:pPr>
        <w:pStyle w:val="Heading3"/>
        <w:spacing w:before="0"/>
      </w:pPr>
      <w:r>
        <w:t>Applying guidelines and standards</w:t>
      </w:r>
    </w:p>
    <w:p w:rsidR="009466C0" w:rsidRDefault="009466C0" w:rsidP="00CE08DE">
      <w:pPr>
        <w:spacing w:after="0" w:line="240" w:lineRule="auto"/>
      </w:pPr>
    </w:p>
    <w:p w:rsidR="009466C0" w:rsidRDefault="009466C0" w:rsidP="00CE08DE">
      <w:pPr>
        <w:spacing w:after="0" w:line="240" w:lineRule="auto"/>
      </w:pPr>
      <w:r>
        <w:t xml:space="preserve">Researchers have suggested that the lack of a clear </w:t>
      </w:r>
      <w:r>
        <w:rPr>
          <w:rFonts w:cs="Arial"/>
        </w:rPr>
        <w:t xml:space="preserve">framework or ‘one-stop-shop’ for the various guidelines and </w:t>
      </w:r>
      <w:r>
        <w:t>standards for ethical review is a barrier to na</w:t>
      </w:r>
      <w:r w:rsidR="00CE08DE">
        <w:t xml:space="preserve">vigating the ethics landscape. </w:t>
      </w:r>
      <w:r>
        <w:t xml:space="preserve">Identifying relevant documents and piecing them together </w:t>
      </w:r>
      <w:r w:rsidRPr="00E57CA9">
        <w:rPr>
          <w:rFonts w:cs="Arial"/>
        </w:rPr>
        <w:t xml:space="preserve">is </w:t>
      </w:r>
      <w:r>
        <w:rPr>
          <w:rFonts w:cs="Arial"/>
        </w:rPr>
        <w:t xml:space="preserve">not an easy exercise, even for the more experienced researcher. </w:t>
      </w:r>
    </w:p>
    <w:p w:rsidR="009466C0" w:rsidRPr="00115B56" w:rsidRDefault="009466C0" w:rsidP="00CE08DE">
      <w:pPr>
        <w:spacing w:after="0" w:line="240" w:lineRule="auto"/>
      </w:pPr>
    </w:p>
    <w:p w:rsidR="00CE08DE" w:rsidRDefault="00CE08DE">
      <w:pPr>
        <w:rPr>
          <w:rFonts w:cs="Arial"/>
        </w:rPr>
      </w:pPr>
      <w:r>
        <w:rPr>
          <w:rFonts w:cs="Arial"/>
        </w:rPr>
        <w:br w:type="page"/>
      </w:r>
    </w:p>
    <w:p w:rsidR="009466C0" w:rsidRDefault="009466C0" w:rsidP="00CE08DE">
      <w:pPr>
        <w:spacing w:after="0" w:line="240" w:lineRule="auto"/>
        <w:rPr>
          <w:rFonts w:cs="Arial"/>
        </w:rPr>
      </w:pPr>
      <w:r>
        <w:rPr>
          <w:rFonts w:cs="Arial"/>
        </w:rPr>
        <w:t xml:space="preserve">It can also be difficult to </w:t>
      </w:r>
      <w:r>
        <w:t xml:space="preserve">determine what ethical review process should be followed for a specific research project. The </w:t>
      </w:r>
      <w:r w:rsidR="00772790" w:rsidRPr="00772790">
        <w:rPr>
          <w:i/>
        </w:rPr>
        <w:t>Stan</w:t>
      </w:r>
      <w:r w:rsidRPr="00772790">
        <w:rPr>
          <w:i/>
        </w:rPr>
        <w:t xml:space="preserve">dard </w:t>
      </w:r>
      <w:r w:rsidR="00772790" w:rsidRPr="00772790">
        <w:rPr>
          <w:i/>
        </w:rPr>
        <w:t>O</w:t>
      </w:r>
      <w:r w:rsidRPr="00772790">
        <w:rPr>
          <w:i/>
        </w:rPr>
        <w:t xml:space="preserve">perating </w:t>
      </w:r>
      <w:r w:rsidR="00772790" w:rsidRPr="00772790">
        <w:rPr>
          <w:i/>
        </w:rPr>
        <w:t>P</w:t>
      </w:r>
      <w:r w:rsidRPr="00772790">
        <w:rPr>
          <w:i/>
        </w:rPr>
        <w:t>rocedure</w:t>
      </w:r>
      <w:r w:rsidR="00FE7DAA" w:rsidRPr="00772790">
        <w:rPr>
          <w:i/>
        </w:rPr>
        <w:t>s</w:t>
      </w:r>
      <w:r>
        <w:t xml:space="preserve"> for HDECs includes a flow diagram to help researchers step through the </w:t>
      </w:r>
      <w:r>
        <w:rPr>
          <w:rFonts w:cs="Arial"/>
        </w:rPr>
        <w:t>criteria, exemptions a</w:t>
      </w:r>
      <w:r w:rsidR="00CE08DE">
        <w:rPr>
          <w:rFonts w:cs="Arial"/>
        </w:rPr>
        <w:t xml:space="preserve">nd inclusions for HDEC review. </w:t>
      </w:r>
      <w:r>
        <w:rPr>
          <w:rFonts w:cs="Arial"/>
        </w:rPr>
        <w:t xml:space="preserve">However researchers are still required to use their judgement in deciding whether the research meets the threshold for review, for example, the level of risk and </w:t>
      </w:r>
      <w:r w:rsidR="00CE08DE">
        <w:rPr>
          <w:rFonts w:cs="Arial"/>
        </w:rPr>
        <w:t xml:space="preserve">the </w:t>
      </w:r>
      <w:r>
        <w:rPr>
          <w:rFonts w:cs="Arial"/>
        </w:rPr>
        <w:t xml:space="preserve">potential for identifying individuals. </w:t>
      </w:r>
    </w:p>
    <w:p w:rsidR="00F917BB" w:rsidRDefault="00F917BB" w:rsidP="00CE08DE">
      <w:pPr>
        <w:spacing w:after="0" w:line="240" w:lineRule="auto"/>
      </w:pPr>
    </w:p>
    <w:p w:rsidR="009466C0" w:rsidRDefault="009466C0" w:rsidP="00CE08DE">
      <w:pPr>
        <w:pStyle w:val="Heading3"/>
        <w:spacing w:before="0"/>
      </w:pPr>
      <w:r>
        <w:t>Accessing ethical review</w:t>
      </w:r>
    </w:p>
    <w:p w:rsidR="009466C0" w:rsidRDefault="009466C0" w:rsidP="00CE08DE">
      <w:pPr>
        <w:spacing w:after="0" w:line="240" w:lineRule="auto"/>
      </w:pPr>
    </w:p>
    <w:p w:rsidR="009466C0" w:rsidRDefault="009466C0" w:rsidP="00CE08DE">
      <w:pPr>
        <w:spacing w:after="0" w:line="240" w:lineRule="auto"/>
        <w:rPr>
          <w:rFonts w:cs="Arial"/>
        </w:rPr>
      </w:pPr>
      <w:r w:rsidRPr="00025D88">
        <w:rPr>
          <w:rFonts w:cs="Arial"/>
        </w:rPr>
        <w:t>If a research project does not meet the criteria for HDEC review then it may still benefit from ethical review from an alternative review bo</w:t>
      </w:r>
      <w:r>
        <w:rPr>
          <w:rFonts w:cs="Arial"/>
        </w:rPr>
        <w:t xml:space="preserve">dy </w:t>
      </w:r>
      <w:r w:rsidR="00CE08DE">
        <w:rPr>
          <w:rFonts w:cs="Arial"/>
        </w:rPr>
        <w:t xml:space="preserve">if </w:t>
      </w:r>
      <w:r>
        <w:rPr>
          <w:rFonts w:cs="Arial"/>
        </w:rPr>
        <w:t xml:space="preserve">there are unresolved ethical issues or in order to meet requirements for funding or publication.  </w:t>
      </w:r>
    </w:p>
    <w:p w:rsidR="009466C0" w:rsidRPr="00025D88" w:rsidRDefault="009466C0" w:rsidP="00CE08DE">
      <w:pPr>
        <w:spacing w:after="0" w:line="240" w:lineRule="auto"/>
        <w:rPr>
          <w:rFonts w:cs="Arial"/>
        </w:rPr>
      </w:pPr>
    </w:p>
    <w:p w:rsidR="009466C0" w:rsidRDefault="009466C0" w:rsidP="00CE08DE">
      <w:pPr>
        <w:spacing w:after="0" w:line="240" w:lineRule="auto"/>
        <w:rPr>
          <w:rFonts w:cs="Arial"/>
        </w:rPr>
      </w:pPr>
      <w:r w:rsidRPr="00E57CA9">
        <w:rPr>
          <w:rFonts w:cs="Arial"/>
        </w:rPr>
        <w:t>Where a research application is precluded from HDEC review, the onus is on the researcher to seek alternative ethical review or ensure proper</w:t>
      </w:r>
      <w:r>
        <w:rPr>
          <w:rFonts w:cs="Arial"/>
        </w:rPr>
        <w:t xml:space="preserve"> processes have been followed. Some researchers may be able to access an ethics committee within or assoc</w:t>
      </w:r>
      <w:r w:rsidR="00CE08DE">
        <w:rPr>
          <w:rFonts w:cs="Arial"/>
        </w:rPr>
        <w:t xml:space="preserve">iated with their organisation. </w:t>
      </w:r>
      <w:r>
        <w:rPr>
          <w:rFonts w:cs="Arial"/>
        </w:rPr>
        <w:t>For other researchers there may be few</w:t>
      </w:r>
      <w:r w:rsidR="00CE08DE">
        <w:rPr>
          <w:rFonts w:cs="Arial"/>
        </w:rPr>
        <w:t xml:space="preserve">, if any, alternative options. </w:t>
      </w:r>
      <w:r>
        <w:rPr>
          <w:rFonts w:cs="Arial"/>
        </w:rPr>
        <w:t xml:space="preserve">This is the case for researchers in some </w:t>
      </w:r>
      <w:r w:rsidRPr="00E57CA9">
        <w:rPr>
          <w:rFonts w:cs="Arial"/>
        </w:rPr>
        <w:t>government departments</w:t>
      </w:r>
      <w:r>
        <w:rPr>
          <w:rFonts w:cs="Arial"/>
        </w:rPr>
        <w:t xml:space="preserve"> and</w:t>
      </w:r>
      <w:r w:rsidRPr="00E57CA9">
        <w:rPr>
          <w:rFonts w:cs="Arial"/>
        </w:rPr>
        <w:t xml:space="preserve"> community organisations</w:t>
      </w:r>
      <w:r>
        <w:rPr>
          <w:rFonts w:cs="Arial"/>
        </w:rPr>
        <w:t xml:space="preserve">.  </w:t>
      </w:r>
    </w:p>
    <w:p w:rsidR="00F917BB" w:rsidRDefault="00F917BB" w:rsidP="00CE08DE">
      <w:pPr>
        <w:spacing w:after="0" w:line="240" w:lineRule="auto"/>
        <w:rPr>
          <w:rFonts w:cs="Arial"/>
        </w:rPr>
      </w:pPr>
    </w:p>
    <w:p w:rsidR="009466C0" w:rsidRDefault="009466C0" w:rsidP="00CE08DE">
      <w:pPr>
        <w:pStyle w:val="Heading3"/>
        <w:spacing w:before="0"/>
      </w:pPr>
      <w:r>
        <w:t xml:space="preserve">Monitoring and accountability </w:t>
      </w:r>
    </w:p>
    <w:p w:rsidR="009466C0" w:rsidRDefault="009466C0" w:rsidP="00CE08DE">
      <w:pPr>
        <w:spacing w:after="0" w:line="240" w:lineRule="auto"/>
      </w:pPr>
    </w:p>
    <w:p w:rsidR="009466C0" w:rsidRDefault="009466C0" w:rsidP="00CE08DE">
      <w:pPr>
        <w:spacing w:after="0" w:line="240" w:lineRule="auto"/>
        <w:rPr>
          <w:rFonts w:cs="Arial"/>
        </w:rPr>
      </w:pPr>
      <w:r>
        <w:rPr>
          <w:rFonts w:cs="Arial"/>
        </w:rPr>
        <w:t xml:space="preserve">Researchers are responsible for good design and conduct of research, including </w:t>
      </w:r>
      <w:r w:rsidR="0030549C">
        <w:rPr>
          <w:rFonts w:cs="Arial"/>
        </w:rPr>
        <w:t>complying with all relevant legal requirements</w:t>
      </w:r>
      <w:r w:rsidR="001659C0">
        <w:rPr>
          <w:rFonts w:cs="Arial"/>
        </w:rPr>
        <w:t xml:space="preserve"> and</w:t>
      </w:r>
      <w:r w:rsidR="0030549C">
        <w:rPr>
          <w:rFonts w:cs="Arial"/>
        </w:rPr>
        <w:t xml:space="preserve"> </w:t>
      </w:r>
      <w:r>
        <w:rPr>
          <w:rFonts w:cs="Arial"/>
        </w:rPr>
        <w:t>adhering to the agreed and ethically approved study</w:t>
      </w:r>
      <w:r w:rsidR="001659C0">
        <w:rPr>
          <w:rFonts w:cs="Arial"/>
        </w:rPr>
        <w:t xml:space="preserve">. </w:t>
      </w:r>
      <w:r w:rsidR="001659C0" w:rsidRPr="00374D98">
        <w:rPr>
          <w:rFonts w:cs="Arial"/>
        </w:rPr>
        <w:t>Researchers are also responsible for communicating results (including positive, negative, significant and non-significant results) in a timely, understandable and appropriate way so that the widest possible community stands to benefit.</w:t>
      </w:r>
      <w:r w:rsidR="001659C0">
        <w:rPr>
          <w:rFonts w:cs="Arial"/>
        </w:rPr>
        <w:t xml:space="preserve"> </w:t>
      </w:r>
      <w:r>
        <w:rPr>
          <w:rFonts w:cs="Arial"/>
        </w:rPr>
        <w:t xml:space="preserve">However, </w:t>
      </w:r>
      <w:r w:rsidRPr="008F3CAE">
        <w:rPr>
          <w:rFonts w:cs="Arial"/>
        </w:rPr>
        <w:t xml:space="preserve">it is not entirely clear who is responsible </w:t>
      </w:r>
      <w:r w:rsidR="0030549C">
        <w:rPr>
          <w:rFonts w:cs="Arial"/>
        </w:rPr>
        <w:t xml:space="preserve">for ensuring researchers fulfil these obligations.  </w:t>
      </w:r>
    </w:p>
    <w:p w:rsidR="0030549C" w:rsidRDefault="0030549C" w:rsidP="00CE08DE">
      <w:pPr>
        <w:spacing w:after="0" w:line="240" w:lineRule="auto"/>
        <w:rPr>
          <w:rFonts w:cs="Arial"/>
        </w:rPr>
      </w:pPr>
    </w:p>
    <w:p w:rsidR="009466C0" w:rsidRDefault="009466C0" w:rsidP="00CE08DE">
      <w:pPr>
        <w:spacing w:after="0" w:line="240" w:lineRule="auto"/>
        <w:rPr>
          <w:rFonts w:cs="Arial"/>
        </w:rPr>
      </w:pPr>
      <w:r w:rsidRPr="00F917BB">
        <w:rPr>
          <w:rFonts w:cs="Arial"/>
        </w:rPr>
        <w:t xml:space="preserve">There is no </w:t>
      </w:r>
      <w:r w:rsidR="0030549C" w:rsidRPr="00F917BB">
        <w:rPr>
          <w:rFonts w:cs="Arial"/>
        </w:rPr>
        <w:t>agreed accountability framework for ethics committees and NEAC is not aware of any consistent approach for monitoring the per</w:t>
      </w:r>
      <w:r w:rsidR="00CE08DE" w:rsidRPr="00F917BB">
        <w:rPr>
          <w:rFonts w:cs="Arial"/>
        </w:rPr>
        <w:t xml:space="preserve">formance of ethics committees. </w:t>
      </w:r>
      <w:r w:rsidRPr="00F917BB">
        <w:rPr>
          <w:rFonts w:cs="Arial"/>
        </w:rPr>
        <w:t xml:space="preserve">For example, neither the </w:t>
      </w:r>
      <w:r w:rsidR="00CE08DE" w:rsidRPr="00F917BB">
        <w:rPr>
          <w:szCs w:val="24"/>
        </w:rPr>
        <w:t>s</w:t>
      </w:r>
      <w:r w:rsidRPr="00F917BB">
        <w:rPr>
          <w:szCs w:val="24"/>
        </w:rPr>
        <w:t xml:space="preserve">tandard </w:t>
      </w:r>
      <w:r w:rsidR="00CE08DE" w:rsidRPr="00F917BB">
        <w:rPr>
          <w:szCs w:val="24"/>
        </w:rPr>
        <w:t>o</w:t>
      </w:r>
      <w:r w:rsidRPr="00F917BB">
        <w:rPr>
          <w:szCs w:val="24"/>
        </w:rPr>
        <w:t xml:space="preserve">perating </w:t>
      </w:r>
      <w:r w:rsidR="00CE08DE" w:rsidRPr="00F917BB">
        <w:rPr>
          <w:szCs w:val="24"/>
        </w:rPr>
        <w:t>p</w:t>
      </w:r>
      <w:r w:rsidRPr="00F917BB">
        <w:rPr>
          <w:szCs w:val="24"/>
        </w:rPr>
        <w:t>rocedures</w:t>
      </w:r>
      <w:r w:rsidRPr="00F917BB">
        <w:rPr>
          <w:i/>
          <w:szCs w:val="24"/>
        </w:rPr>
        <w:t xml:space="preserve"> </w:t>
      </w:r>
      <w:r w:rsidRPr="00F917BB">
        <w:rPr>
          <w:rFonts w:cs="Arial"/>
        </w:rPr>
        <w:t xml:space="preserve">nor the terms of reference for each HDEC indicate who, if </w:t>
      </w:r>
      <w:proofErr w:type="gramStart"/>
      <w:r w:rsidRPr="00F917BB">
        <w:rPr>
          <w:rFonts w:cs="Arial"/>
        </w:rPr>
        <w:t>anyone,</w:t>
      </w:r>
      <w:proofErr w:type="gramEnd"/>
      <w:r w:rsidRPr="00F917BB">
        <w:rPr>
          <w:rFonts w:cs="Arial"/>
        </w:rPr>
        <w:t xml:space="preserve"> is responsible for ensuring that HDECs meet their responsibility to act lawfully, or to consistently apply the ethical standards set by NEAC to each application they review.</w:t>
      </w:r>
      <w:r>
        <w:rPr>
          <w:rFonts w:cs="Arial"/>
        </w:rPr>
        <w:t xml:space="preserve"> </w:t>
      </w:r>
    </w:p>
    <w:p w:rsidR="0030549C" w:rsidRDefault="0030549C" w:rsidP="00CE08DE">
      <w:pPr>
        <w:spacing w:after="0" w:line="240" w:lineRule="auto"/>
        <w:rPr>
          <w:rFonts w:cs="Arial"/>
        </w:rPr>
      </w:pPr>
    </w:p>
    <w:p w:rsidR="009466C0" w:rsidRDefault="009466C0" w:rsidP="00CE08DE">
      <w:pPr>
        <w:pStyle w:val="Heading3"/>
        <w:spacing w:before="0" w:line="240" w:lineRule="auto"/>
        <w:rPr>
          <w:szCs w:val="24"/>
        </w:rPr>
      </w:pPr>
      <w:r>
        <w:t>1.3</w:t>
      </w:r>
      <w:r>
        <w:tab/>
      </w:r>
      <w:r w:rsidRPr="004E2D85">
        <w:t xml:space="preserve">Current responses </w:t>
      </w:r>
    </w:p>
    <w:p w:rsidR="009466C0" w:rsidRDefault="009466C0" w:rsidP="00CE08DE">
      <w:pPr>
        <w:spacing w:after="0" w:line="240" w:lineRule="auto"/>
        <w:rPr>
          <w:rFonts w:cs="Arial"/>
        </w:rPr>
      </w:pPr>
    </w:p>
    <w:p w:rsidR="009466C0" w:rsidRDefault="009466C0" w:rsidP="00CE08DE">
      <w:pPr>
        <w:pStyle w:val="Heading3"/>
        <w:spacing w:before="0"/>
      </w:pPr>
      <w:r>
        <w:t>Applying guidelines and standards</w:t>
      </w:r>
    </w:p>
    <w:p w:rsidR="009466C0" w:rsidRDefault="009466C0" w:rsidP="00CE08DE">
      <w:pPr>
        <w:spacing w:after="0" w:line="240" w:lineRule="auto"/>
        <w:rPr>
          <w:rFonts w:cs="Arial"/>
        </w:rPr>
      </w:pPr>
    </w:p>
    <w:p w:rsidR="00BB2915" w:rsidRPr="00AC764E" w:rsidRDefault="00BB2915" w:rsidP="00BB2915">
      <w:pPr>
        <w:spacing w:after="0" w:line="240" w:lineRule="auto"/>
        <w:rPr>
          <w:szCs w:val="24"/>
        </w:rPr>
      </w:pPr>
      <w:r>
        <w:rPr>
          <w:rFonts w:cs="Arial"/>
          <w:szCs w:val="24"/>
        </w:rPr>
        <w:t xml:space="preserve">In </w:t>
      </w:r>
      <w:r w:rsidR="000814A8">
        <w:rPr>
          <w:rFonts w:cs="Arial"/>
          <w:szCs w:val="24"/>
        </w:rPr>
        <w:t>2003</w:t>
      </w:r>
      <w:r>
        <w:rPr>
          <w:rFonts w:cs="Arial"/>
          <w:szCs w:val="24"/>
        </w:rPr>
        <w:t xml:space="preserve">, </w:t>
      </w:r>
      <w:r w:rsidRPr="00A75963">
        <w:rPr>
          <w:rFonts w:cs="Arial"/>
          <w:szCs w:val="24"/>
        </w:rPr>
        <w:t>NEAC</w:t>
      </w:r>
      <w:r>
        <w:rPr>
          <w:rFonts w:cs="Arial"/>
          <w:szCs w:val="24"/>
        </w:rPr>
        <w:t xml:space="preserve"> </w:t>
      </w:r>
      <w:r w:rsidR="000814A8">
        <w:rPr>
          <w:rFonts w:cs="Arial"/>
          <w:szCs w:val="24"/>
        </w:rPr>
        <w:t>published</w:t>
      </w:r>
      <w:r>
        <w:rPr>
          <w:rFonts w:cs="Arial"/>
          <w:szCs w:val="24"/>
        </w:rPr>
        <w:t xml:space="preserve"> its st</w:t>
      </w:r>
      <w:r w:rsidRPr="00A75963">
        <w:rPr>
          <w:rFonts w:cs="Arial"/>
          <w:szCs w:val="24"/>
        </w:rPr>
        <w:t xml:space="preserve">atement of </w:t>
      </w:r>
      <w:r w:rsidRPr="0037513D">
        <w:rPr>
          <w:i/>
          <w:szCs w:val="24"/>
        </w:rPr>
        <w:t>Goals, objectives and desired outcomes of an ethical review system</w:t>
      </w:r>
      <w:r>
        <w:rPr>
          <w:rStyle w:val="FootnoteReference"/>
          <w:szCs w:val="24"/>
        </w:rPr>
        <w:footnoteReference w:id="1"/>
      </w:r>
      <w:r w:rsidR="00CC44F5">
        <w:rPr>
          <w:i/>
          <w:szCs w:val="24"/>
        </w:rPr>
        <w:t xml:space="preserve"> </w:t>
      </w:r>
      <w:r w:rsidR="00CC44F5" w:rsidRPr="00CC44F5">
        <w:rPr>
          <w:szCs w:val="24"/>
        </w:rPr>
        <w:t>(</w:t>
      </w:r>
      <w:r w:rsidR="00CC44F5">
        <w:rPr>
          <w:szCs w:val="24"/>
        </w:rPr>
        <w:t xml:space="preserve">see </w:t>
      </w:r>
      <w:r w:rsidR="00CC44F5" w:rsidRPr="00CC44F5">
        <w:rPr>
          <w:szCs w:val="24"/>
        </w:rPr>
        <w:t>Appendix 4)</w:t>
      </w:r>
      <w:r w:rsidRPr="00CC44F5">
        <w:rPr>
          <w:szCs w:val="24"/>
        </w:rPr>
        <w:t>.</w:t>
      </w:r>
      <w:r>
        <w:rPr>
          <w:szCs w:val="24"/>
        </w:rPr>
        <w:t xml:space="preserve"> </w:t>
      </w:r>
      <w:r w:rsidR="000814A8">
        <w:rPr>
          <w:szCs w:val="24"/>
        </w:rPr>
        <w:t xml:space="preserve">The statement was updated in 2010. </w:t>
      </w:r>
      <w:r>
        <w:rPr>
          <w:szCs w:val="24"/>
        </w:rPr>
        <w:t xml:space="preserve">The goals cover four areas: contributing to knowledge and improved health outcomes; protecting participants; balancing risks and benefits; and recognising and respecting the principles of the Treaty of Waitangi. Desired outcomes are specified for six objectives: accountable, enabling, informed, enabling of Māori participation, fair and efficient.  </w:t>
      </w:r>
    </w:p>
    <w:p w:rsidR="00BB2915" w:rsidRPr="000250C2" w:rsidRDefault="00BB2915" w:rsidP="000250C2">
      <w:pPr>
        <w:spacing w:after="0" w:line="240" w:lineRule="auto"/>
        <w:rPr>
          <w:rFonts w:cs="Arial"/>
        </w:rPr>
      </w:pPr>
    </w:p>
    <w:p w:rsidR="0030549C" w:rsidRDefault="009466C0" w:rsidP="00CE08DE">
      <w:pPr>
        <w:spacing w:after="0" w:line="240" w:lineRule="auto"/>
        <w:rPr>
          <w:rFonts w:cs="Arial"/>
        </w:rPr>
      </w:pPr>
      <w:r>
        <w:rPr>
          <w:rFonts w:cs="Arial"/>
        </w:rPr>
        <w:t xml:space="preserve">Some </w:t>
      </w:r>
      <w:r w:rsidRPr="00E57CA9">
        <w:rPr>
          <w:rFonts w:cs="Arial"/>
        </w:rPr>
        <w:t>researchers</w:t>
      </w:r>
      <w:r>
        <w:rPr>
          <w:rFonts w:cs="Arial"/>
        </w:rPr>
        <w:t xml:space="preserve"> are able to access support from within their organisation or from researcher networks to help decide </w:t>
      </w:r>
      <w:r>
        <w:t xml:space="preserve">which guidelines and standards are relevant to their research. </w:t>
      </w:r>
      <w:r>
        <w:rPr>
          <w:rFonts w:cs="Arial"/>
        </w:rPr>
        <w:t>However, this level of collegial support is not consistently available</w:t>
      </w:r>
      <w:r w:rsidRPr="00E57CA9">
        <w:rPr>
          <w:rFonts w:cs="Arial"/>
        </w:rPr>
        <w:t>.</w:t>
      </w:r>
    </w:p>
    <w:p w:rsidR="00A75963" w:rsidRDefault="00A75963" w:rsidP="00CE08DE">
      <w:pPr>
        <w:spacing w:after="0" w:line="240" w:lineRule="auto"/>
        <w:rPr>
          <w:rFonts w:cs="Arial"/>
        </w:rPr>
      </w:pPr>
    </w:p>
    <w:p w:rsidR="00A75963" w:rsidRPr="00A75963" w:rsidRDefault="0030549C" w:rsidP="00A75963">
      <w:pPr>
        <w:spacing w:after="0" w:line="240" w:lineRule="auto"/>
        <w:rPr>
          <w:rFonts w:cs="Arial"/>
        </w:rPr>
      </w:pPr>
      <w:r>
        <w:rPr>
          <w:rFonts w:cs="Arial"/>
        </w:rPr>
        <w:t>Relevant resources for ethical review are available through the HRC’s website</w:t>
      </w:r>
      <w:r>
        <w:rPr>
          <w:rStyle w:val="FootnoteReference"/>
          <w:rFonts w:cs="Arial"/>
        </w:rPr>
        <w:footnoteReference w:id="2"/>
      </w:r>
      <w:r>
        <w:rPr>
          <w:rFonts w:cs="Arial"/>
        </w:rPr>
        <w:t xml:space="preserve"> and NEAC’s guidelines set out the range of guidelines and standards </w:t>
      </w:r>
      <w:proofErr w:type="gramStart"/>
      <w:r>
        <w:rPr>
          <w:rFonts w:cs="Arial"/>
        </w:rPr>
        <w:t>that researchers</w:t>
      </w:r>
      <w:proofErr w:type="gramEnd"/>
      <w:r>
        <w:rPr>
          <w:rFonts w:cs="Arial"/>
        </w:rPr>
        <w:t xml:space="preserve"> need to be aware of when planning and undertaking research. </w:t>
      </w:r>
    </w:p>
    <w:p w:rsidR="00CE08DE" w:rsidRPr="008034F3" w:rsidRDefault="00CE08DE" w:rsidP="008034F3">
      <w:pPr>
        <w:spacing w:after="0" w:line="240" w:lineRule="auto"/>
        <w:rPr>
          <w:rFonts w:cs="Arial"/>
        </w:rPr>
      </w:pPr>
    </w:p>
    <w:p w:rsidR="009466C0" w:rsidRDefault="009466C0" w:rsidP="00CE08DE">
      <w:pPr>
        <w:pStyle w:val="Heading3"/>
        <w:spacing w:before="0"/>
      </w:pPr>
      <w:r>
        <w:t>Accessing ethical review</w:t>
      </w:r>
    </w:p>
    <w:p w:rsidR="009466C0" w:rsidRDefault="009466C0" w:rsidP="00CE08DE">
      <w:pPr>
        <w:spacing w:after="0" w:line="240" w:lineRule="auto"/>
        <w:rPr>
          <w:rFonts w:cs="Arial"/>
        </w:rPr>
      </w:pPr>
    </w:p>
    <w:p w:rsidR="009466C0" w:rsidRPr="0030549C" w:rsidRDefault="009466C0" w:rsidP="00CE08DE">
      <w:pPr>
        <w:spacing w:after="0" w:line="240" w:lineRule="auto"/>
        <w:rPr>
          <w:rFonts w:cs="Arial"/>
        </w:rPr>
      </w:pPr>
      <w:r>
        <w:rPr>
          <w:rFonts w:cs="Arial"/>
        </w:rPr>
        <w:t>A n</w:t>
      </w:r>
      <w:r w:rsidRPr="00E57CA9">
        <w:rPr>
          <w:rFonts w:cs="Arial"/>
        </w:rPr>
        <w:t xml:space="preserve">umber of alternative ethical review structures </w:t>
      </w:r>
      <w:r>
        <w:rPr>
          <w:rFonts w:cs="Arial"/>
        </w:rPr>
        <w:t xml:space="preserve">have been set </w:t>
      </w:r>
      <w:r w:rsidRPr="00E57CA9">
        <w:rPr>
          <w:rFonts w:cs="Arial"/>
        </w:rPr>
        <w:t xml:space="preserve">up </w:t>
      </w:r>
      <w:r>
        <w:rPr>
          <w:rFonts w:cs="Arial"/>
        </w:rPr>
        <w:t xml:space="preserve">in </w:t>
      </w:r>
      <w:r w:rsidR="00CE08DE">
        <w:rPr>
          <w:rFonts w:cs="Arial"/>
        </w:rPr>
        <w:t>District Health Boards (</w:t>
      </w:r>
      <w:r>
        <w:rPr>
          <w:rFonts w:cs="Arial"/>
        </w:rPr>
        <w:t>DHBs</w:t>
      </w:r>
      <w:r w:rsidR="00CE08DE">
        <w:rPr>
          <w:rFonts w:cs="Arial"/>
        </w:rPr>
        <w:t>)</w:t>
      </w:r>
      <w:r>
        <w:rPr>
          <w:rFonts w:cs="Arial"/>
        </w:rPr>
        <w:t xml:space="preserve"> and institutions </w:t>
      </w:r>
      <w:r w:rsidRPr="00E57CA9">
        <w:rPr>
          <w:rFonts w:cs="Arial"/>
        </w:rPr>
        <w:t xml:space="preserve">to </w:t>
      </w:r>
      <w:r>
        <w:rPr>
          <w:rFonts w:cs="Arial"/>
        </w:rPr>
        <w:t xml:space="preserve">undertake ethical review of research that does not meet HDEC criteria.  Other researchers that have studies excluded from HDEC review have made </w:t>
      </w:r>
      <w:r w:rsidRPr="00E57CA9">
        <w:rPr>
          <w:rFonts w:cs="Arial"/>
        </w:rPr>
        <w:t xml:space="preserve">arrangements with </w:t>
      </w:r>
      <w:r w:rsidRPr="00CB3F94">
        <w:rPr>
          <w:rFonts w:ascii="ArialMäori" w:hAnsi="ArialMäori" w:cs="ArialMäori"/>
          <w:szCs w:val="24"/>
        </w:rPr>
        <w:t xml:space="preserve">institutional ethics committees </w:t>
      </w:r>
      <w:r>
        <w:rPr>
          <w:rFonts w:cs="Arial"/>
        </w:rPr>
        <w:t xml:space="preserve">to access ethical review of their studies </w:t>
      </w:r>
      <w:r w:rsidRPr="00E57CA9">
        <w:rPr>
          <w:rFonts w:cs="Arial"/>
        </w:rPr>
        <w:t xml:space="preserve">but this </w:t>
      </w:r>
      <w:r>
        <w:rPr>
          <w:rFonts w:cs="Arial"/>
        </w:rPr>
        <w:t xml:space="preserve">is ad-hoc and usually </w:t>
      </w:r>
      <w:r w:rsidRPr="00E57CA9">
        <w:rPr>
          <w:rFonts w:cs="Arial"/>
        </w:rPr>
        <w:t>dependent on individual relationships</w:t>
      </w:r>
      <w:r>
        <w:rPr>
          <w:rFonts w:cs="Arial"/>
        </w:rPr>
        <w:t>. NEAC has also received anecdotal evidence of r</w:t>
      </w:r>
      <w:r w:rsidRPr="00E57CA9">
        <w:rPr>
          <w:rFonts w:cs="Arial"/>
        </w:rPr>
        <w:t xml:space="preserve">esearchers </w:t>
      </w:r>
      <w:r w:rsidR="0030549C">
        <w:rPr>
          <w:rFonts w:cs="Arial"/>
        </w:rPr>
        <w:t xml:space="preserve">answering HDEC screening questions in such a way to ensure they can access HDEC review. </w:t>
      </w:r>
    </w:p>
    <w:p w:rsidR="009466C0" w:rsidRDefault="009466C0" w:rsidP="00CE08DE">
      <w:pPr>
        <w:spacing w:after="0" w:line="240" w:lineRule="auto"/>
        <w:rPr>
          <w:rFonts w:cs="Arial"/>
        </w:rPr>
      </w:pPr>
    </w:p>
    <w:p w:rsidR="009466C0" w:rsidRDefault="009466C0" w:rsidP="00CE08DE">
      <w:pPr>
        <w:pStyle w:val="Heading3"/>
        <w:spacing w:before="0"/>
      </w:pPr>
      <w:r>
        <w:t xml:space="preserve">Monitoring and accountability </w:t>
      </w:r>
    </w:p>
    <w:p w:rsidR="009466C0" w:rsidRPr="007345D1" w:rsidRDefault="009466C0" w:rsidP="00CE08DE">
      <w:pPr>
        <w:spacing w:after="0" w:line="240" w:lineRule="auto"/>
      </w:pPr>
    </w:p>
    <w:p w:rsidR="009466C0" w:rsidRPr="0024022E" w:rsidRDefault="009466C0" w:rsidP="00CE08DE">
      <w:pPr>
        <w:spacing w:after="0" w:line="240" w:lineRule="auto"/>
        <w:rPr>
          <w:rFonts w:cs="Arial"/>
        </w:rPr>
      </w:pPr>
      <w:r w:rsidRPr="0024022E">
        <w:rPr>
          <w:rFonts w:cs="Arial"/>
        </w:rPr>
        <w:t>Health pr</w:t>
      </w:r>
      <w:r w:rsidR="00EA505A">
        <w:rPr>
          <w:rFonts w:cs="Arial"/>
        </w:rPr>
        <w:t>ofessionals</w:t>
      </w:r>
      <w:r w:rsidRPr="0024022E">
        <w:rPr>
          <w:rFonts w:cs="Arial"/>
        </w:rPr>
        <w:t xml:space="preserve"> undertaking research are required to follow the codes of practice issued by their respective health regulatory body, as well as the </w:t>
      </w:r>
      <w:r w:rsidRPr="0024022E">
        <w:rPr>
          <w:szCs w:val="24"/>
        </w:rPr>
        <w:t>Code of Health and Disability Services Consumers’ Rights</w:t>
      </w:r>
      <w:r w:rsidRPr="0024022E">
        <w:rPr>
          <w:rFonts w:cs="Arial"/>
        </w:rPr>
        <w:t xml:space="preserve">. Some of the regulatory authorities play a disciplinary role, dealing with complaints about, and taking action in relation to, a breach of professional ethical standards, including those related to research. This disciplinary role is also shared with the </w:t>
      </w:r>
      <w:r w:rsidRPr="0024022E">
        <w:rPr>
          <w:szCs w:val="24"/>
        </w:rPr>
        <w:t>Health and Disability Commissioner</w:t>
      </w:r>
      <w:r w:rsidRPr="0024022E">
        <w:rPr>
          <w:rFonts w:cs="Arial"/>
        </w:rPr>
        <w:t xml:space="preserve">. However, there are no </w:t>
      </w:r>
      <w:r>
        <w:rPr>
          <w:rFonts w:cs="Arial"/>
        </w:rPr>
        <w:t xml:space="preserve">publicly available </w:t>
      </w:r>
      <w:r w:rsidRPr="0024022E">
        <w:rPr>
          <w:rFonts w:cs="Arial"/>
        </w:rPr>
        <w:t xml:space="preserve">cases </w:t>
      </w:r>
      <w:r>
        <w:rPr>
          <w:rFonts w:cs="Arial"/>
        </w:rPr>
        <w:t>th</w:t>
      </w:r>
      <w:r w:rsidRPr="0024022E">
        <w:rPr>
          <w:rFonts w:cs="Arial"/>
        </w:rPr>
        <w:t xml:space="preserve">at relate to misconduct in research. </w:t>
      </w:r>
    </w:p>
    <w:p w:rsidR="009466C0" w:rsidRPr="0024022E" w:rsidRDefault="009466C0" w:rsidP="00CE08DE">
      <w:pPr>
        <w:spacing w:after="0" w:line="240" w:lineRule="auto"/>
        <w:rPr>
          <w:rFonts w:cs="Arial"/>
        </w:rPr>
      </w:pPr>
    </w:p>
    <w:p w:rsidR="009466C0" w:rsidRDefault="009466C0" w:rsidP="00CE08DE">
      <w:pPr>
        <w:spacing w:after="0" w:line="240" w:lineRule="auto"/>
        <w:rPr>
          <w:rFonts w:cs="Arial"/>
        </w:rPr>
      </w:pPr>
      <w:r w:rsidRPr="007345D1">
        <w:rPr>
          <w:rFonts w:cs="Arial"/>
        </w:rPr>
        <w:t>Requirements for researchers to adher</w:t>
      </w:r>
      <w:r>
        <w:rPr>
          <w:rFonts w:cs="Arial"/>
        </w:rPr>
        <w:t>e</w:t>
      </w:r>
      <w:r w:rsidRPr="007345D1">
        <w:rPr>
          <w:rFonts w:cs="Arial"/>
        </w:rPr>
        <w:t xml:space="preserve"> to the approved study protocol, to act lawfully and to publish </w:t>
      </w:r>
      <w:r w:rsidR="006965F5">
        <w:rPr>
          <w:rFonts w:cs="Arial"/>
        </w:rPr>
        <w:t>results</w:t>
      </w:r>
      <w:r w:rsidRPr="007345D1">
        <w:rPr>
          <w:rFonts w:cs="Arial"/>
        </w:rPr>
        <w:t xml:space="preserve"> are also apparent in formal arrangements, such as in contractual and employment agreement</w:t>
      </w:r>
      <w:r w:rsidR="00FE7DAA">
        <w:rPr>
          <w:rFonts w:cs="Arial"/>
        </w:rPr>
        <w:t>s</w:t>
      </w:r>
      <w:r w:rsidRPr="007345D1">
        <w:rPr>
          <w:rFonts w:cs="Arial"/>
        </w:rPr>
        <w:t xml:space="preserve"> with institutio</w:t>
      </w:r>
      <w:r w:rsidR="00FE7DAA">
        <w:rPr>
          <w:rFonts w:cs="Arial"/>
        </w:rPr>
        <w:t>ns and sponsors, and informally,</w:t>
      </w:r>
      <w:r w:rsidRPr="007345D1">
        <w:rPr>
          <w:rFonts w:cs="Arial"/>
        </w:rPr>
        <w:t xml:space="preserve"> </w:t>
      </w:r>
      <w:r w:rsidR="00FE7DAA">
        <w:rPr>
          <w:rFonts w:cs="Arial"/>
        </w:rPr>
        <w:t>t</w:t>
      </w:r>
      <w:r w:rsidRPr="007345D1">
        <w:rPr>
          <w:rFonts w:cs="Arial"/>
        </w:rPr>
        <w:t xml:space="preserve">hrough colleagues and research networks.  </w:t>
      </w:r>
    </w:p>
    <w:p w:rsidR="009466C0" w:rsidRPr="007345D1" w:rsidRDefault="009466C0" w:rsidP="00CE08DE">
      <w:pPr>
        <w:spacing w:after="0" w:line="240" w:lineRule="auto"/>
        <w:rPr>
          <w:rFonts w:cs="Arial"/>
        </w:rPr>
      </w:pPr>
    </w:p>
    <w:p w:rsidR="009466C0" w:rsidRPr="007345D1" w:rsidRDefault="009466C0" w:rsidP="00CE08DE">
      <w:pPr>
        <w:spacing w:after="0" w:line="240" w:lineRule="auto"/>
        <w:rPr>
          <w:rFonts w:cs="Arial"/>
        </w:rPr>
      </w:pPr>
      <w:r w:rsidRPr="00CE08DE">
        <w:rPr>
          <w:rFonts w:cs="Arial"/>
        </w:rPr>
        <w:t>HDECs report annually to the Minister of Health</w:t>
      </w:r>
      <w:r w:rsidR="00CE08DE" w:rsidRPr="00CE08DE">
        <w:rPr>
          <w:rFonts w:cs="Arial"/>
        </w:rPr>
        <w:t xml:space="preserve">. </w:t>
      </w:r>
      <w:r w:rsidR="00C24A5C" w:rsidRPr="00CE08DE">
        <w:rPr>
          <w:rFonts w:cs="Arial"/>
        </w:rPr>
        <w:t>Th</w:t>
      </w:r>
      <w:r w:rsidRPr="00CE08DE">
        <w:rPr>
          <w:rFonts w:cs="Arial"/>
        </w:rPr>
        <w:t xml:space="preserve">e Ministry of Health </w:t>
      </w:r>
      <w:r w:rsidR="00C24A5C" w:rsidRPr="00CE08DE">
        <w:rPr>
          <w:rFonts w:cs="Arial"/>
        </w:rPr>
        <w:t>is currently working to</w:t>
      </w:r>
      <w:r w:rsidR="00121287" w:rsidRPr="00CE08DE">
        <w:rPr>
          <w:rFonts w:cs="Arial"/>
        </w:rPr>
        <w:t xml:space="preserve"> improve processes and monitor </w:t>
      </w:r>
      <w:r w:rsidRPr="00CE08DE">
        <w:rPr>
          <w:rFonts w:cs="Arial"/>
        </w:rPr>
        <w:t>HDECs</w:t>
      </w:r>
      <w:r w:rsidR="00C24A5C" w:rsidRPr="00CE08DE">
        <w:rPr>
          <w:rFonts w:cs="Arial"/>
        </w:rPr>
        <w:t>,</w:t>
      </w:r>
      <w:r w:rsidR="00121287" w:rsidRPr="00CE08DE">
        <w:rPr>
          <w:rFonts w:cs="Arial"/>
        </w:rPr>
        <w:t xml:space="preserve"> including </w:t>
      </w:r>
      <w:r w:rsidR="00C24A5C" w:rsidRPr="00CE08DE">
        <w:rPr>
          <w:rFonts w:cs="Arial"/>
        </w:rPr>
        <w:t xml:space="preserve">the </w:t>
      </w:r>
      <w:r w:rsidR="00121287" w:rsidRPr="00CE08DE">
        <w:rPr>
          <w:rFonts w:cs="Arial"/>
        </w:rPr>
        <w:t xml:space="preserve">quality of </w:t>
      </w:r>
      <w:r w:rsidR="00C24A5C" w:rsidRPr="00CE08DE">
        <w:rPr>
          <w:rFonts w:cs="Arial"/>
        </w:rPr>
        <w:t xml:space="preserve">HDEC </w:t>
      </w:r>
      <w:r w:rsidR="00CE08DE" w:rsidRPr="00CE08DE">
        <w:rPr>
          <w:rFonts w:cs="Arial"/>
        </w:rPr>
        <w:t xml:space="preserve">review. </w:t>
      </w:r>
      <w:r w:rsidR="00121287" w:rsidRPr="00CE08DE">
        <w:rPr>
          <w:rFonts w:cs="Arial"/>
        </w:rPr>
        <w:t xml:space="preserve">This work </w:t>
      </w:r>
      <w:r w:rsidR="00E33DB7" w:rsidRPr="00CE08DE">
        <w:rPr>
          <w:rFonts w:cs="Arial"/>
        </w:rPr>
        <w:t xml:space="preserve">may </w:t>
      </w:r>
      <w:r w:rsidR="00121287" w:rsidRPr="00CE08DE">
        <w:rPr>
          <w:rFonts w:cs="Arial"/>
        </w:rPr>
        <w:t xml:space="preserve">include using </w:t>
      </w:r>
      <w:r w:rsidR="00E33DB7" w:rsidRPr="00CE08DE">
        <w:rPr>
          <w:rFonts w:cs="Arial"/>
        </w:rPr>
        <w:t xml:space="preserve">case studies or </w:t>
      </w:r>
      <w:r w:rsidR="00121287" w:rsidRPr="00CE08DE">
        <w:rPr>
          <w:rFonts w:cs="Arial"/>
        </w:rPr>
        <w:t>dummy applications to measure the quality of HDEC decision-making, for example, looking at whether their decisions are consistent, or understanding why different decisions m</w:t>
      </w:r>
      <w:r w:rsidR="00CE08DE" w:rsidRPr="00CE08DE">
        <w:rPr>
          <w:rFonts w:cs="Arial"/>
        </w:rPr>
        <w:t xml:space="preserve">ay be made by different HDECs. </w:t>
      </w:r>
      <w:r w:rsidRPr="00CE08DE">
        <w:rPr>
          <w:rFonts w:cs="Arial"/>
        </w:rPr>
        <w:t xml:space="preserve">This </w:t>
      </w:r>
      <w:r w:rsidR="00121287" w:rsidRPr="00CE08DE">
        <w:rPr>
          <w:rFonts w:cs="Arial"/>
        </w:rPr>
        <w:t xml:space="preserve">approach </w:t>
      </w:r>
      <w:r w:rsidRPr="00CE08DE">
        <w:rPr>
          <w:rFonts w:cs="Arial"/>
        </w:rPr>
        <w:t xml:space="preserve">is similar to the </w:t>
      </w:r>
      <w:r w:rsidRPr="00CE08DE">
        <w:rPr>
          <w:rFonts w:cs="Arial"/>
          <w:szCs w:val="24"/>
        </w:rPr>
        <w:t>UK’s Health Research Agency’s quality assurance programme, which requires N</w:t>
      </w:r>
      <w:r w:rsidR="006965F5">
        <w:rPr>
          <w:rFonts w:cs="Arial"/>
          <w:szCs w:val="24"/>
        </w:rPr>
        <w:t xml:space="preserve">ational Health Service </w:t>
      </w:r>
      <w:r w:rsidRPr="00CE08DE">
        <w:rPr>
          <w:rFonts w:cs="Arial"/>
          <w:szCs w:val="24"/>
        </w:rPr>
        <w:t>ethics committees to review a single application. The review helps committees to improve consistency in decision-making, to encourage an ethical debate across committees and to review the current guidance related to the application.</w:t>
      </w:r>
      <w:r w:rsidRPr="00503A1C">
        <w:rPr>
          <w:rFonts w:cs="Arial"/>
          <w:szCs w:val="24"/>
        </w:rPr>
        <w:t xml:space="preserve"> </w:t>
      </w:r>
    </w:p>
    <w:p w:rsidR="00BB2915" w:rsidRDefault="00BB2915">
      <w:pPr>
        <w:rPr>
          <w:rFonts w:asciiTheme="majorHAnsi" w:eastAsiaTheme="majorEastAsia" w:hAnsiTheme="majorHAnsi" w:cstheme="majorBidi"/>
          <w:b/>
          <w:bCs/>
          <w:color w:val="4F81BD" w:themeColor="accent1"/>
        </w:rPr>
      </w:pPr>
      <w:r>
        <w:br w:type="page"/>
      </w:r>
    </w:p>
    <w:p w:rsidR="009466C0" w:rsidRDefault="009466C0" w:rsidP="00CE08DE">
      <w:pPr>
        <w:pStyle w:val="Heading3"/>
        <w:spacing w:before="0" w:line="240" w:lineRule="auto"/>
      </w:pPr>
      <w:r>
        <w:t>1.4</w:t>
      </w:r>
      <w:r>
        <w:tab/>
      </w:r>
      <w:r w:rsidRPr="004E2D85">
        <w:t xml:space="preserve">Other possible responses </w:t>
      </w:r>
    </w:p>
    <w:p w:rsidR="009466C0" w:rsidRPr="00EA077F" w:rsidRDefault="009466C0" w:rsidP="00CE08DE">
      <w:pPr>
        <w:spacing w:after="0" w:line="240" w:lineRule="auto"/>
        <w:rPr>
          <w:rFonts w:cs="Arial"/>
        </w:rPr>
      </w:pPr>
    </w:p>
    <w:p w:rsidR="009466C0" w:rsidRDefault="009466C0" w:rsidP="00CE08DE">
      <w:pPr>
        <w:pStyle w:val="Heading3"/>
        <w:spacing w:before="0"/>
      </w:pPr>
      <w:r>
        <w:t>Applying guidelines and standards</w:t>
      </w:r>
    </w:p>
    <w:p w:rsidR="009466C0" w:rsidRDefault="009466C0" w:rsidP="00CE08DE">
      <w:pPr>
        <w:spacing w:after="0" w:line="240" w:lineRule="auto"/>
        <w:rPr>
          <w:rFonts w:cs="Arial"/>
        </w:rPr>
      </w:pPr>
    </w:p>
    <w:p w:rsidR="00BB2915" w:rsidRDefault="00BB2915" w:rsidP="00CE08DE">
      <w:pPr>
        <w:spacing w:after="0" w:line="240" w:lineRule="auto"/>
        <w:rPr>
          <w:szCs w:val="24"/>
        </w:rPr>
      </w:pPr>
      <w:r>
        <w:rPr>
          <w:szCs w:val="24"/>
        </w:rPr>
        <w:t xml:space="preserve">It is unclear how useful NEAC’s statement of </w:t>
      </w:r>
      <w:r w:rsidRPr="0037513D">
        <w:rPr>
          <w:i/>
          <w:szCs w:val="24"/>
        </w:rPr>
        <w:t>Goals, objectives and desired outcomes of an ethical review system</w:t>
      </w:r>
      <w:r>
        <w:rPr>
          <w:szCs w:val="24"/>
        </w:rPr>
        <w:t xml:space="preserve"> is as a strategic framework for the ethical review system. There may be scope to further develop and/or promote this tool within the research community. </w:t>
      </w:r>
    </w:p>
    <w:p w:rsidR="00BB2915" w:rsidRDefault="00BB2915" w:rsidP="00CE08DE">
      <w:pPr>
        <w:spacing w:after="0" w:line="240" w:lineRule="auto"/>
        <w:rPr>
          <w:szCs w:val="24"/>
        </w:rPr>
      </w:pPr>
    </w:p>
    <w:p w:rsidR="009466C0" w:rsidRPr="000F2922" w:rsidRDefault="009466C0" w:rsidP="00CE08DE">
      <w:pPr>
        <w:spacing w:after="0" w:line="240" w:lineRule="auto"/>
        <w:rPr>
          <w:rFonts w:cs="Arial"/>
        </w:rPr>
      </w:pPr>
      <w:r>
        <w:rPr>
          <w:rFonts w:cs="Arial"/>
        </w:rPr>
        <w:t xml:space="preserve">An </w:t>
      </w:r>
      <w:r w:rsidR="00BB2915">
        <w:rPr>
          <w:rFonts w:cs="Arial"/>
        </w:rPr>
        <w:t>enhanced</w:t>
      </w:r>
      <w:r>
        <w:rPr>
          <w:rFonts w:cs="Arial"/>
        </w:rPr>
        <w:t xml:space="preserve"> framework might help researchers understand </w:t>
      </w:r>
      <w:r w:rsidR="00BB2915">
        <w:rPr>
          <w:rFonts w:cs="Arial"/>
        </w:rPr>
        <w:t xml:space="preserve">their responsibilities and </w:t>
      </w:r>
      <w:r>
        <w:rPr>
          <w:rFonts w:cs="Arial"/>
        </w:rPr>
        <w:t xml:space="preserve">how the various standards, processes and structures fit together in the New Zealand context. The framework could usefully be adapted into an interactive website or an online step-by-step guide for researchers to help them make appropriate decisions about ethical review for their research.  </w:t>
      </w:r>
    </w:p>
    <w:p w:rsidR="009466C0" w:rsidRPr="000F2922" w:rsidRDefault="009466C0" w:rsidP="00CE08DE">
      <w:pPr>
        <w:spacing w:after="0" w:line="240" w:lineRule="auto"/>
        <w:rPr>
          <w:rFonts w:cs="Arial"/>
        </w:rPr>
      </w:pPr>
    </w:p>
    <w:p w:rsidR="009466C0" w:rsidRPr="00445F10" w:rsidRDefault="009466C0" w:rsidP="00CE08DE">
      <w:pPr>
        <w:spacing w:after="0" w:line="240" w:lineRule="auto"/>
        <w:rPr>
          <w:rFonts w:cs="Arial"/>
        </w:rPr>
      </w:pPr>
      <w:r>
        <w:rPr>
          <w:rFonts w:cs="Arial"/>
        </w:rPr>
        <w:t xml:space="preserve">This is the approach taken by the </w:t>
      </w:r>
      <w:r w:rsidRPr="00445F10">
        <w:rPr>
          <w:rFonts w:cs="Arial"/>
        </w:rPr>
        <w:t>UK</w:t>
      </w:r>
      <w:r>
        <w:rPr>
          <w:rFonts w:cs="Arial"/>
        </w:rPr>
        <w:t>’s National Research Authority</w:t>
      </w:r>
      <w:r w:rsidR="00CE08DE" w:rsidRPr="00503A1C">
        <w:rPr>
          <w:vertAlign w:val="superscript"/>
        </w:rPr>
        <w:footnoteReference w:id="3"/>
      </w:r>
      <w:r>
        <w:rPr>
          <w:rFonts w:cs="Arial"/>
        </w:rPr>
        <w:t xml:space="preserve">, which </w:t>
      </w:r>
      <w:r w:rsidRPr="00445F10">
        <w:rPr>
          <w:rFonts w:cs="Arial"/>
        </w:rPr>
        <w:t>provides a ‘one-stop-shop’ of guid</w:t>
      </w:r>
      <w:r>
        <w:rPr>
          <w:rFonts w:cs="Arial"/>
        </w:rPr>
        <w:t xml:space="preserve">ance to the research community. </w:t>
      </w:r>
      <w:r w:rsidRPr="00445F10">
        <w:rPr>
          <w:rFonts w:cs="Arial"/>
        </w:rPr>
        <w:t xml:space="preserve">The </w:t>
      </w:r>
      <w:r>
        <w:rPr>
          <w:rFonts w:cs="Arial"/>
        </w:rPr>
        <w:t xml:space="preserve">National Research Authority’s </w:t>
      </w:r>
      <w:r w:rsidRPr="00445F10">
        <w:rPr>
          <w:rFonts w:cs="Arial"/>
        </w:rPr>
        <w:t xml:space="preserve">website is arranged as a journey through the research process, with detailed information and guidance at each stage, including </w:t>
      </w:r>
      <w:r>
        <w:rPr>
          <w:rFonts w:cs="Arial"/>
        </w:rPr>
        <w:t xml:space="preserve">for </w:t>
      </w:r>
      <w:r w:rsidRPr="00445F10">
        <w:rPr>
          <w:rFonts w:cs="Arial"/>
        </w:rPr>
        <w:t>ethical review. It also covers research not undertaken in the NHS, such as social care research</w:t>
      </w:r>
      <w:r w:rsidR="00CE08DE">
        <w:rPr>
          <w:rFonts w:cs="Arial"/>
        </w:rPr>
        <w:t xml:space="preserve">, </w:t>
      </w:r>
      <w:r w:rsidRPr="00445F10">
        <w:rPr>
          <w:rFonts w:cs="Arial"/>
        </w:rPr>
        <w:t xml:space="preserve">and </w:t>
      </w:r>
      <w:r w:rsidR="00CE08DE">
        <w:rPr>
          <w:rFonts w:cs="Arial"/>
        </w:rPr>
        <w:t xml:space="preserve">directs </w:t>
      </w:r>
      <w:r w:rsidRPr="00445F10">
        <w:rPr>
          <w:rFonts w:cs="Arial"/>
        </w:rPr>
        <w:t xml:space="preserve">the reader to </w:t>
      </w:r>
      <w:r w:rsidR="00CE08DE">
        <w:rPr>
          <w:rFonts w:cs="Arial"/>
        </w:rPr>
        <w:t>other</w:t>
      </w:r>
      <w:r w:rsidR="00CE08DE" w:rsidRPr="00445F10">
        <w:rPr>
          <w:rFonts w:cs="Arial"/>
        </w:rPr>
        <w:t xml:space="preserve"> </w:t>
      </w:r>
      <w:r w:rsidRPr="00445F10">
        <w:rPr>
          <w:rFonts w:cs="Arial"/>
        </w:rPr>
        <w:t>relevant bod</w:t>
      </w:r>
      <w:r w:rsidR="00CE08DE">
        <w:rPr>
          <w:rFonts w:cs="Arial"/>
        </w:rPr>
        <w:t>ies</w:t>
      </w:r>
      <w:r w:rsidRPr="00445F10">
        <w:rPr>
          <w:rFonts w:cs="Arial"/>
        </w:rPr>
        <w:t>.</w:t>
      </w:r>
    </w:p>
    <w:p w:rsidR="009466C0" w:rsidRPr="000F2922" w:rsidRDefault="009466C0" w:rsidP="00CE08DE">
      <w:pPr>
        <w:spacing w:after="0" w:line="240" w:lineRule="auto"/>
        <w:rPr>
          <w:rFonts w:cs="Arial"/>
        </w:rPr>
      </w:pPr>
    </w:p>
    <w:p w:rsidR="009466C0" w:rsidRDefault="009466C0" w:rsidP="00CE08DE">
      <w:pPr>
        <w:pStyle w:val="Heading3"/>
        <w:spacing w:before="0"/>
      </w:pPr>
      <w:r>
        <w:t>Accessing ethical review</w:t>
      </w:r>
    </w:p>
    <w:p w:rsidR="009466C0" w:rsidRPr="00445F10" w:rsidRDefault="009466C0" w:rsidP="00CE08DE">
      <w:pPr>
        <w:spacing w:after="0"/>
      </w:pPr>
    </w:p>
    <w:p w:rsidR="009466C0" w:rsidRDefault="009466C0" w:rsidP="00CE08DE">
      <w:pPr>
        <w:spacing w:after="0" w:line="240" w:lineRule="auto"/>
        <w:rPr>
          <w:rFonts w:cs="Arial"/>
        </w:rPr>
      </w:pPr>
      <w:r>
        <w:rPr>
          <w:rFonts w:cs="Arial"/>
        </w:rPr>
        <w:t>The research community ha</w:t>
      </w:r>
      <w:r w:rsidR="00C24A5C">
        <w:rPr>
          <w:rFonts w:cs="Arial"/>
        </w:rPr>
        <w:t>s</w:t>
      </w:r>
      <w:r>
        <w:rPr>
          <w:rFonts w:cs="Arial"/>
        </w:rPr>
        <w:t xml:space="preserve"> made a number of suggestions for accessing ethical review when a study does not meet the criteria for HDEC review. These include:</w:t>
      </w:r>
    </w:p>
    <w:p w:rsidR="009466C0" w:rsidRPr="00545451" w:rsidRDefault="009466C0" w:rsidP="00CE08DE">
      <w:pPr>
        <w:spacing w:after="0" w:line="240" w:lineRule="auto"/>
        <w:rPr>
          <w:rFonts w:cs="Arial"/>
        </w:rPr>
      </w:pPr>
    </w:p>
    <w:p w:rsidR="009466C0" w:rsidRDefault="009466C0" w:rsidP="00CE08DE">
      <w:pPr>
        <w:pStyle w:val="ListParagraph"/>
        <w:numPr>
          <w:ilvl w:val="0"/>
          <w:numId w:val="20"/>
        </w:numPr>
        <w:spacing w:after="0" w:line="240" w:lineRule="auto"/>
        <w:ind w:left="714" w:hanging="357"/>
        <w:contextualSpacing w:val="0"/>
        <w:rPr>
          <w:rFonts w:cs="Arial"/>
        </w:rPr>
      </w:pPr>
      <w:r>
        <w:rPr>
          <w:rFonts w:cs="Arial"/>
        </w:rPr>
        <w:t>providing the option of informal ethical review/advice to researchers whose study is classified as minimal risk research (and therefore excluded from HDEC review)</w:t>
      </w:r>
    </w:p>
    <w:p w:rsidR="009466C0" w:rsidRDefault="009466C0" w:rsidP="00CE08DE">
      <w:pPr>
        <w:pStyle w:val="ListParagraph"/>
        <w:spacing w:after="0" w:line="240" w:lineRule="auto"/>
        <w:ind w:left="714"/>
        <w:contextualSpacing w:val="0"/>
        <w:rPr>
          <w:rFonts w:cs="Arial"/>
        </w:rPr>
      </w:pPr>
    </w:p>
    <w:p w:rsidR="009466C0" w:rsidRDefault="009466C0" w:rsidP="00CE08DE">
      <w:pPr>
        <w:pStyle w:val="ListParagraph"/>
        <w:numPr>
          <w:ilvl w:val="0"/>
          <w:numId w:val="20"/>
        </w:numPr>
        <w:spacing w:after="0" w:line="240" w:lineRule="auto"/>
        <w:ind w:left="714" w:hanging="357"/>
        <w:contextualSpacing w:val="0"/>
        <w:rPr>
          <w:rFonts w:cs="Arial"/>
        </w:rPr>
      </w:pPr>
      <w:r>
        <w:rPr>
          <w:rFonts w:cs="Arial"/>
        </w:rPr>
        <w:t>allowing researchers to opt in</w:t>
      </w:r>
      <w:r w:rsidRPr="0022223D">
        <w:rPr>
          <w:rFonts w:cs="Arial"/>
        </w:rPr>
        <w:t xml:space="preserve"> for ethical review by a</w:t>
      </w:r>
      <w:r>
        <w:rPr>
          <w:rFonts w:cs="Arial"/>
        </w:rPr>
        <w:t>n</w:t>
      </w:r>
      <w:r w:rsidRPr="0022223D">
        <w:rPr>
          <w:rFonts w:cs="Arial"/>
        </w:rPr>
        <w:t xml:space="preserve"> HDEC if they </w:t>
      </w:r>
      <w:r>
        <w:rPr>
          <w:rFonts w:cs="Arial"/>
        </w:rPr>
        <w:t xml:space="preserve">consider their research requires ethical review and there is no other alternative </w:t>
      </w:r>
    </w:p>
    <w:p w:rsidR="009466C0" w:rsidRPr="00880127" w:rsidRDefault="009466C0" w:rsidP="00CE08DE">
      <w:pPr>
        <w:pStyle w:val="ListParagraph"/>
        <w:spacing w:after="0"/>
        <w:rPr>
          <w:rFonts w:cs="Arial"/>
        </w:rPr>
      </w:pPr>
    </w:p>
    <w:p w:rsidR="009466C0" w:rsidRDefault="009466C0" w:rsidP="00CE08DE">
      <w:pPr>
        <w:pStyle w:val="ListParagraph"/>
        <w:numPr>
          <w:ilvl w:val="0"/>
          <w:numId w:val="20"/>
        </w:numPr>
        <w:spacing w:after="0" w:line="240" w:lineRule="auto"/>
        <w:rPr>
          <w:rFonts w:cs="Arial"/>
        </w:rPr>
      </w:pPr>
      <w:proofErr w:type="gramStart"/>
      <w:r>
        <w:rPr>
          <w:rFonts w:cs="Arial"/>
        </w:rPr>
        <w:t>e</w:t>
      </w:r>
      <w:r w:rsidRPr="00E57CA9">
        <w:rPr>
          <w:rFonts w:cs="Arial"/>
        </w:rPr>
        <w:t>stablishing</w:t>
      </w:r>
      <w:proofErr w:type="gramEnd"/>
      <w:r w:rsidRPr="00E57CA9">
        <w:rPr>
          <w:rFonts w:cs="Arial"/>
        </w:rPr>
        <w:t xml:space="preserve"> new ethical review structures for </w:t>
      </w:r>
      <w:r>
        <w:rPr>
          <w:rFonts w:cs="Arial"/>
        </w:rPr>
        <w:t xml:space="preserve">specific types of research where specialist knowledge is important, for example, innovative practice and trials of </w:t>
      </w:r>
      <w:r w:rsidRPr="00E57CA9">
        <w:rPr>
          <w:rFonts w:cs="Arial"/>
        </w:rPr>
        <w:t>medical devices</w:t>
      </w:r>
      <w:r>
        <w:rPr>
          <w:rFonts w:cs="Arial"/>
        </w:rPr>
        <w:t xml:space="preserve">. </w:t>
      </w:r>
    </w:p>
    <w:p w:rsidR="009466C0" w:rsidRDefault="009466C0" w:rsidP="00CE08DE">
      <w:pPr>
        <w:spacing w:after="0" w:line="240" w:lineRule="auto"/>
        <w:rPr>
          <w:rFonts w:cs="Arial"/>
        </w:rPr>
      </w:pPr>
    </w:p>
    <w:p w:rsidR="009466C0" w:rsidRDefault="009466C0" w:rsidP="00CE08DE">
      <w:pPr>
        <w:spacing w:after="0" w:line="240" w:lineRule="auto"/>
        <w:rPr>
          <w:rFonts w:cs="Arial"/>
        </w:rPr>
      </w:pPr>
      <w:r>
        <w:rPr>
          <w:rFonts w:cs="Arial"/>
        </w:rPr>
        <w:t>In the UK, research ethics committees in the NHS can be ‘flagged’ as having expertise in reviewing particular types of research, for example</w:t>
      </w:r>
      <w:r w:rsidR="006965F5">
        <w:rPr>
          <w:rFonts w:cs="Arial"/>
        </w:rPr>
        <w:t>,</w:t>
      </w:r>
      <w:r>
        <w:rPr>
          <w:rFonts w:cs="Arial"/>
        </w:rPr>
        <w:t xml:space="preserve"> research involving prisoners, or those involving participants that lack the capacity to consent. Some ethics committees have mandatory flagging for certain types of research, such as for a medical device stud</w:t>
      </w:r>
      <w:r w:rsidR="00CE08DE">
        <w:rPr>
          <w:rFonts w:cs="Arial"/>
        </w:rPr>
        <w:t>y</w:t>
      </w:r>
      <w:r>
        <w:rPr>
          <w:rFonts w:cs="Arial"/>
        </w:rPr>
        <w:t xml:space="preserve"> or qualitative research.  </w:t>
      </w:r>
    </w:p>
    <w:p w:rsidR="009466C0" w:rsidRPr="005366AC" w:rsidRDefault="009466C0" w:rsidP="00CE08DE">
      <w:pPr>
        <w:pStyle w:val="ListParagraph"/>
        <w:spacing w:after="0" w:line="240" w:lineRule="auto"/>
        <w:ind w:left="714"/>
        <w:contextualSpacing w:val="0"/>
        <w:rPr>
          <w:rFonts w:cs="Arial"/>
        </w:rPr>
      </w:pPr>
    </w:p>
    <w:p w:rsidR="00BB2915" w:rsidRDefault="00BB2915">
      <w:pPr>
        <w:rPr>
          <w:rFonts w:asciiTheme="majorHAnsi" w:eastAsiaTheme="majorEastAsia" w:hAnsiTheme="majorHAnsi" w:cstheme="majorBidi"/>
          <w:b/>
          <w:bCs/>
          <w:color w:val="4F81BD" w:themeColor="accent1"/>
        </w:rPr>
      </w:pPr>
      <w:r>
        <w:br w:type="page"/>
      </w:r>
    </w:p>
    <w:p w:rsidR="009466C0" w:rsidRDefault="008C4D79" w:rsidP="00CE08DE">
      <w:pPr>
        <w:pStyle w:val="Heading3"/>
        <w:spacing w:before="0"/>
      </w:pPr>
      <w:r>
        <w:t>M</w:t>
      </w:r>
      <w:r w:rsidR="009466C0">
        <w:t>onitoring and accountability</w:t>
      </w:r>
    </w:p>
    <w:p w:rsidR="009466C0" w:rsidRDefault="009466C0" w:rsidP="00CE08DE">
      <w:pPr>
        <w:spacing w:after="0"/>
      </w:pPr>
    </w:p>
    <w:p w:rsidR="009466C0" w:rsidRDefault="008C4D79" w:rsidP="00F917BB">
      <w:pPr>
        <w:spacing w:after="0" w:line="240" w:lineRule="auto"/>
      </w:pPr>
      <w:r>
        <w:t xml:space="preserve">It is unclear how current monitoring and accountability issues could best be addressed and NEAC invites feedback on this issue.  </w:t>
      </w:r>
    </w:p>
    <w:p w:rsidR="008C4D79" w:rsidRPr="008C4D79" w:rsidRDefault="008C4D79" w:rsidP="00CE08DE">
      <w:pPr>
        <w:spacing w:after="0"/>
        <w:rPr>
          <w:rFonts w:cs="Arial"/>
        </w:rPr>
      </w:pPr>
    </w:p>
    <w:p w:rsidR="009466C0" w:rsidRPr="00BF516A" w:rsidRDefault="009466C0" w:rsidP="00CE08DE">
      <w:pPr>
        <w:pStyle w:val="Heading3"/>
        <w:spacing w:before="0" w:line="240" w:lineRule="auto"/>
      </w:pPr>
      <w:r>
        <w:t>1.5</w:t>
      </w:r>
      <w:r>
        <w:tab/>
        <w:t>Questions</w:t>
      </w:r>
    </w:p>
    <w:p w:rsidR="009466C0" w:rsidRDefault="009466C0" w:rsidP="00CE08DE">
      <w:pPr>
        <w:autoSpaceDE w:val="0"/>
        <w:autoSpaceDN w:val="0"/>
        <w:adjustRightInd w:val="0"/>
        <w:spacing w:after="0" w:line="240" w:lineRule="auto"/>
        <w:rPr>
          <w:rFonts w:ascii="ArialMäori" w:hAnsi="ArialMäori" w:cs="ArialMäori"/>
          <w:szCs w:val="24"/>
        </w:rPr>
      </w:pPr>
    </w:p>
    <w:p w:rsidR="009466C0" w:rsidRDefault="009466C0" w:rsidP="00CE08DE">
      <w:pPr>
        <w:pStyle w:val="ListParagraph"/>
        <w:numPr>
          <w:ilvl w:val="0"/>
          <w:numId w:val="24"/>
        </w:numPr>
        <w:spacing w:after="0" w:line="240" w:lineRule="auto"/>
        <w:rPr>
          <w:rFonts w:cs="Arial"/>
        </w:rPr>
      </w:pPr>
      <w:r w:rsidRPr="00CB3F94">
        <w:rPr>
          <w:rFonts w:cs="Arial"/>
        </w:rPr>
        <w:t>What could be done to achieve more cohesion across the ethical review system?</w:t>
      </w:r>
    </w:p>
    <w:p w:rsidR="009466C0" w:rsidRPr="00CB3F94" w:rsidRDefault="009466C0" w:rsidP="00CE08DE">
      <w:pPr>
        <w:pStyle w:val="ListParagraph"/>
        <w:spacing w:after="0" w:line="240" w:lineRule="auto"/>
        <w:rPr>
          <w:rFonts w:cs="Arial"/>
        </w:rPr>
      </w:pPr>
    </w:p>
    <w:p w:rsidR="00BB2915" w:rsidRDefault="00BB2915" w:rsidP="00BB2915">
      <w:pPr>
        <w:pStyle w:val="ListParagraph"/>
        <w:numPr>
          <w:ilvl w:val="0"/>
          <w:numId w:val="24"/>
        </w:numPr>
        <w:spacing w:after="0" w:line="240" w:lineRule="auto"/>
        <w:rPr>
          <w:rFonts w:cs="Arial"/>
        </w:rPr>
      </w:pPr>
      <w:r>
        <w:rPr>
          <w:rFonts w:cs="Arial"/>
        </w:rPr>
        <w:t xml:space="preserve">How useful is NEAC’s </w:t>
      </w:r>
      <w:r w:rsidRPr="00BB2915">
        <w:rPr>
          <w:rFonts w:cs="Arial"/>
        </w:rPr>
        <w:t xml:space="preserve">statement of </w:t>
      </w:r>
      <w:r w:rsidRPr="0037513D">
        <w:rPr>
          <w:i/>
          <w:szCs w:val="24"/>
        </w:rPr>
        <w:t>Goals, objectives and desired outcomes of an ethical review system</w:t>
      </w:r>
      <w:r>
        <w:rPr>
          <w:i/>
          <w:szCs w:val="24"/>
        </w:rPr>
        <w:t xml:space="preserve"> (GODO)</w:t>
      </w:r>
      <w:r>
        <w:rPr>
          <w:rFonts w:cs="Arial"/>
        </w:rPr>
        <w:t>?</w:t>
      </w:r>
    </w:p>
    <w:p w:rsidR="001659C0" w:rsidRDefault="001659C0" w:rsidP="001659C0">
      <w:pPr>
        <w:pStyle w:val="ListParagraph"/>
        <w:spacing w:after="0" w:line="240" w:lineRule="auto"/>
        <w:rPr>
          <w:rFonts w:cs="Arial"/>
        </w:rPr>
      </w:pPr>
    </w:p>
    <w:p w:rsidR="001659C0" w:rsidRPr="00374D98" w:rsidRDefault="001659C0" w:rsidP="001659C0">
      <w:pPr>
        <w:pStyle w:val="ListParagraph"/>
        <w:numPr>
          <w:ilvl w:val="0"/>
          <w:numId w:val="24"/>
        </w:numPr>
        <w:spacing w:after="0" w:line="240" w:lineRule="auto"/>
        <w:rPr>
          <w:rFonts w:cs="Arial"/>
        </w:rPr>
      </w:pPr>
      <w:r w:rsidRPr="00374D98">
        <w:rPr>
          <w:rFonts w:cs="Arial"/>
        </w:rPr>
        <w:t>Are the GODO goals adequately covered by the objectives?</w:t>
      </w:r>
    </w:p>
    <w:p w:rsidR="00BB2915" w:rsidRDefault="00BB2915" w:rsidP="00BB2915">
      <w:pPr>
        <w:pStyle w:val="ListParagraph"/>
        <w:spacing w:after="0" w:line="240" w:lineRule="auto"/>
        <w:rPr>
          <w:rFonts w:cs="Arial"/>
        </w:rPr>
      </w:pPr>
    </w:p>
    <w:p w:rsidR="00BB2915" w:rsidRDefault="00BB2915" w:rsidP="00BB2915">
      <w:pPr>
        <w:pStyle w:val="ListParagraph"/>
        <w:numPr>
          <w:ilvl w:val="0"/>
          <w:numId w:val="24"/>
        </w:numPr>
        <w:spacing w:after="0" w:line="240" w:lineRule="auto"/>
        <w:rPr>
          <w:rFonts w:cs="Arial"/>
        </w:rPr>
      </w:pPr>
      <w:r>
        <w:rPr>
          <w:rFonts w:cs="Arial"/>
        </w:rPr>
        <w:t xml:space="preserve">How could the GODO </w:t>
      </w:r>
      <w:r w:rsidRPr="00BB2915">
        <w:rPr>
          <w:rFonts w:cs="Arial"/>
        </w:rPr>
        <w:t xml:space="preserve">statement </w:t>
      </w:r>
      <w:r>
        <w:rPr>
          <w:rFonts w:cs="Arial"/>
        </w:rPr>
        <w:t>be improved?</w:t>
      </w:r>
    </w:p>
    <w:p w:rsidR="00BB2915" w:rsidRPr="00BB2915" w:rsidRDefault="00BB2915" w:rsidP="00BB2915">
      <w:pPr>
        <w:spacing w:after="0" w:line="240" w:lineRule="auto"/>
        <w:rPr>
          <w:rFonts w:cs="Arial"/>
        </w:rPr>
      </w:pPr>
    </w:p>
    <w:p w:rsidR="009466C0" w:rsidRPr="00826BCD" w:rsidRDefault="009466C0" w:rsidP="00CE08DE">
      <w:pPr>
        <w:pStyle w:val="ListParagraph"/>
        <w:numPr>
          <w:ilvl w:val="0"/>
          <w:numId w:val="24"/>
        </w:numPr>
        <w:autoSpaceDE w:val="0"/>
        <w:autoSpaceDN w:val="0"/>
        <w:adjustRightInd w:val="0"/>
        <w:spacing w:after="0" w:line="240" w:lineRule="auto"/>
        <w:rPr>
          <w:rFonts w:ascii="ArialMäori" w:hAnsi="ArialMäori" w:cs="ArialMäori"/>
          <w:szCs w:val="24"/>
        </w:rPr>
      </w:pPr>
      <w:r w:rsidRPr="00826BCD">
        <w:rPr>
          <w:rFonts w:ascii="ArialMäori" w:hAnsi="ArialMäori" w:cs="ArialMäori"/>
          <w:szCs w:val="24"/>
        </w:rPr>
        <w:t>Is the plurality of functions that various public agencies (</w:t>
      </w:r>
      <w:proofErr w:type="spellStart"/>
      <w:r w:rsidRPr="00826BCD">
        <w:rPr>
          <w:rFonts w:ascii="ArialMäori" w:hAnsi="ArialMäori" w:cs="ArialMäori"/>
          <w:szCs w:val="24"/>
        </w:rPr>
        <w:t>eg</w:t>
      </w:r>
      <w:proofErr w:type="spellEnd"/>
      <w:r w:rsidR="006965F5">
        <w:rPr>
          <w:rFonts w:ascii="ArialMäori" w:hAnsi="ArialMäori" w:cs="ArialMäori"/>
          <w:szCs w:val="24"/>
        </w:rPr>
        <w:t>,</w:t>
      </w:r>
      <w:r w:rsidRPr="00826BCD">
        <w:rPr>
          <w:rFonts w:ascii="ArialMäori" w:hAnsi="ArialMäori" w:cs="ArialMäori"/>
          <w:szCs w:val="24"/>
        </w:rPr>
        <w:t xml:space="preserve"> Ministry of</w:t>
      </w:r>
    </w:p>
    <w:p w:rsidR="009466C0" w:rsidRPr="00826BCD" w:rsidRDefault="009466C0" w:rsidP="00CE08DE">
      <w:pPr>
        <w:pStyle w:val="ListParagraph"/>
        <w:autoSpaceDE w:val="0"/>
        <w:autoSpaceDN w:val="0"/>
        <w:adjustRightInd w:val="0"/>
        <w:spacing w:after="0" w:line="240" w:lineRule="auto"/>
        <w:rPr>
          <w:rFonts w:ascii="ArialMäori" w:hAnsi="ArialMäori" w:cs="ArialMäori"/>
          <w:szCs w:val="24"/>
        </w:rPr>
      </w:pPr>
      <w:r w:rsidRPr="00826BCD">
        <w:rPr>
          <w:rFonts w:ascii="ArialMäori" w:hAnsi="ArialMäori" w:cs="ArialMäori"/>
          <w:szCs w:val="24"/>
        </w:rPr>
        <w:t>Health, NEAC, HRC) have to set standards for researchers and for ethics committees sufficiently clear and coherent overall?</w:t>
      </w:r>
    </w:p>
    <w:p w:rsidR="009466C0" w:rsidRDefault="009466C0" w:rsidP="00CE08DE">
      <w:pPr>
        <w:spacing w:after="0" w:line="240" w:lineRule="auto"/>
        <w:rPr>
          <w:rFonts w:cs="Arial"/>
        </w:rPr>
      </w:pPr>
    </w:p>
    <w:p w:rsidR="009466C0" w:rsidRPr="00CB3F94" w:rsidRDefault="009466C0" w:rsidP="00CE08DE">
      <w:pPr>
        <w:pStyle w:val="ListParagraph"/>
        <w:numPr>
          <w:ilvl w:val="0"/>
          <w:numId w:val="24"/>
        </w:numPr>
        <w:spacing w:after="0" w:line="240" w:lineRule="auto"/>
        <w:rPr>
          <w:rFonts w:cs="Arial"/>
        </w:rPr>
      </w:pPr>
      <w:r w:rsidRPr="00CB3F94">
        <w:rPr>
          <w:rFonts w:cs="Arial"/>
        </w:rPr>
        <w:t>What would help parties involved in research navigate through the current system?</w:t>
      </w:r>
    </w:p>
    <w:p w:rsidR="009466C0" w:rsidRPr="00DA7881" w:rsidRDefault="009466C0" w:rsidP="00CE08DE">
      <w:pPr>
        <w:pStyle w:val="ListParagraph"/>
        <w:spacing w:after="0" w:line="240" w:lineRule="auto"/>
        <w:rPr>
          <w:rFonts w:cs="Arial"/>
          <w:i/>
        </w:rPr>
      </w:pPr>
    </w:p>
    <w:p w:rsidR="009466C0" w:rsidRPr="00DA7881" w:rsidRDefault="009466C0" w:rsidP="00CE08DE">
      <w:pPr>
        <w:pStyle w:val="ListParagraph"/>
        <w:numPr>
          <w:ilvl w:val="0"/>
          <w:numId w:val="24"/>
        </w:numPr>
        <w:spacing w:after="0" w:line="240" w:lineRule="auto"/>
        <w:rPr>
          <w:rFonts w:cs="Arial"/>
          <w:i/>
        </w:rPr>
      </w:pPr>
      <w:r w:rsidRPr="00E57CA9">
        <w:rPr>
          <w:rFonts w:cs="Arial"/>
        </w:rPr>
        <w:t>What mechanism</w:t>
      </w:r>
      <w:r w:rsidR="00C24A5C">
        <w:rPr>
          <w:rFonts w:cs="Arial"/>
        </w:rPr>
        <w:t>(s)</w:t>
      </w:r>
      <w:r w:rsidRPr="00E57CA9">
        <w:rPr>
          <w:rFonts w:cs="Arial"/>
        </w:rPr>
        <w:t xml:space="preserve"> could be used to direct or facilitate access to ethical review where a researcher is otherwise unable to access it?  </w:t>
      </w:r>
    </w:p>
    <w:p w:rsidR="009466C0" w:rsidRPr="00826BCD" w:rsidRDefault="009466C0" w:rsidP="00CE08DE">
      <w:pPr>
        <w:pStyle w:val="ListParagraph"/>
        <w:autoSpaceDE w:val="0"/>
        <w:autoSpaceDN w:val="0"/>
        <w:adjustRightInd w:val="0"/>
        <w:spacing w:after="0" w:line="240" w:lineRule="auto"/>
        <w:rPr>
          <w:rFonts w:ascii="ArialMäori" w:hAnsi="ArialMäori" w:cs="ArialMäori"/>
          <w:szCs w:val="24"/>
        </w:rPr>
      </w:pPr>
    </w:p>
    <w:p w:rsidR="009466C0" w:rsidRDefault="009466C0" w:rsidP="00CE08DE">
      <w:pPr>
        <w:pStyle w:val="ListParagraph"/>
        <w:numPr>
          <w:ilvl w:val="0"/>
          <w:numId w:val="24"/>
        </w:numPr>
        <w:spacing w:after="0" w:line="240" w:lineRule="auto"/>
        <w:rPr>
          <w:rFonts w:cs="Arial"/>
        </w:rPr>
      </w:pPr>
      <w:r w:rsidRPr="00E57CA9">
        <w:rPr>
          <w:rFonts w:cs="Arial"/>
        </w:rPr>
        <w:t xml:space="preserve">What would an </w:t>
      </w:r>
      <w:r>
        <w:rPr>
          <w:rFonts w:cs="Arial"/>
        </w:rPr>
        <w:t>opt-</w:t>
      </w:r>
      <w:r w:rsidRPr="00E57CA9">
        <w:rPr>
          <w:rFonts w:cs="Arial"/>
        </w:rPr>
        <w:t xml:space="preserve">in </w:t>
      </w:r>
      <w:r>
        <w:rPr>
          <w:rFonts w:cs="Arial"/>
        </w:rPr>
        <w:t>review o</w:t>
      </w:r>
      <w:r w:rsidRPr="00E57CA9">
        <w:rPr>
          <w:rFonts w:cs="Arial"/>
        </w:rPr>
        <w:t xml:space="preserve">ption </w:t>
      </w:r>
      <w:r>
        <w:rPr>
          <w:rFonts w:cs="Arial"/>
        </w:rPr>
        <w:t xml:space="preserve">for HDECs </w:t>
      </w:r>
      <w:r w:rsidRPr="00E57CA9">
        <w:rPr>
          <w:rFonts w:cs="Arial"/>
        </w:rPr>
        <w:t>mean for HDEC workload</w:t>
      </w:r>
      <w:r w:rsidR="00CE08DE">
        <w:rPr>
          <w:rFonts w:cs="Arial"/>
        </w:rPr>
        <w:t>s</w:t>
      </w:r>
      <w:r w:rsidRPr="00E57CA9">
        <w:rPr>
          <w:rFonts w:cs="Arial"/>
        </w:rPr>
        <w:t>, and how would it fit with the recent changes? Does this have the potential to create inefficien</w:t>
      </w:r>
      <w:r>
        <w:rPr>
          <w:rFonts w:cs="Arial"/>
        </w:rPr>
        <w:t>cies</w:t>
      </w:r>
      <w:r w:rsidRPr="00E57CA9">
        <w:rPr>
          <w:rFonts w:cs="Arial"/>
        </w:rPr>
        <w:t xml:space="preserve">?  </w:t>
      </w:r>
    </w:p>
    <w:p w:rsidR="009466C0" w:rsidRPr="00A4426E" w:rsidRDefault="009466C0" w:rsidP="00CE08DE">
      <w:pPr>
        <w:pStyle w:val="ListParagraph"/>
        <w:spacing w:after="0"/>
        <w:rPr>
          <w:rFonts w:cs="Arial"/>
        </w:rPr>
      </w:pPr>
    </w:p>
    <w:p w:rsidR="009466C0" w:rsidRDefault="009466C0" w:rsidP="00CE08DE">
      <w:pPr>
        <w:pStyle w:val="ListParagraph"/>
        <w:numPr>
          <w:ilvl w:val="0"/>
          <w:numId w:val="24"/>
        </w:numPr>
        <w:spacing w:after="0" w:line="240" w:lineRule="auto"/>
        <w:rPr>
          <w:rFonts w:cs="Arial"/>
        </w:rPr>
      </w:pPr>
      <w:r w:rsidRPr="00E57CA9">
        <w:rPr>
          <w:rFonts w:cs="Arial"/>
        </w:rPr>
        <w:t xml:space="preserve">Who </w:t>
      </w:r>
      <w:r>
        <w:rPr>
          <w:rFonts w:cs="Arial"/>
        </w:rPr>
        <w:t>c</w:t>
      </w:r>
      <w:r w:rsidRPr="00E57CA9">
        <w:rPr>
          <w:rFonts w:cs="Arial"/>
        </w:rPr>
        <w:t xml:space="preserve">ould </w:t>
      </w:r>
      <w:r>
        <w:rPr>
          <w:rFonts w:cs="Arial"/>
        </w:rPr>
        <w:t>provide informal</w:t>
      </w:r>
      <w:r w:rsidRPr="00E57CA9">
        <w:rPr>
          <w:rFonts w:cs="Arial"/>
        </w:rPr>
        <w:t xml:space="preserve"> advice for borderline </w:t>
      </w:r>
      <w:r>
        <w:rPr>
          <w:rFonts w:cs="Arial"/>
        </w:rPr>
        <w:t xml:space="preserve">cases for HDEC review </w:t>
      </w:r>
      <w:r w:rsidRPr="00E57CA9">
        <w:rPr>
          <w:rFonts w:cs="Arial"/>
        </w:rPr>
        <w:t>or minimal risk applications</w:t>
      </w:r>
      <w:r>
        <w:rPr>
          <w:rFonts w:cs="Arial"/>
        </w:rPr>
        <w:t xml:space="preserve"> excluded from HDEC review</w:t>
      </w:r>
      <w:r w:rsidRPr="00E57CA9">
        <w:rPr>
          <w:rFonts w:cs="Arial"/>
        </w:rPr>
        <w:t>?</w:t>
      </w:r>
    </w:p>
    <w:p w:rsidR="008C4D79" w:rsidRDefault="008C4D79" w:rsidP="00CE08DE">
      <w:pPr>
        <w:pStyle w:val="ListParagraph"/>
        <w:spacing w:after="0" w:line="240" w:lineRule="auto"/>
        <w:rPr>
          <w:rFonts w:cs="Arial"/>
        </w:rPr>
      </w:pPr>
    </w:p>
    <w:p w:rsidR="008C4D79" w:rsidRPr="00374D98" w:rsidRDefault="008C4D79" w:rsidP="00CE08DE">
      <w:pPr>
        <w:pStyle w:val="ListParagraph"/>
        <w:numPr>
          <w:ilvl w:val="0"/>
          <w:numId w:val="24"/>
        </w:numPr>
        <w:spacing w:after="0" w:line="240" w:lineRule="auto"/>
        <w:rPr>
          <w:rFonts w:cs="Arial"/>
        </w:rPr>
      </w:pPr>
      <w:r w:rsidRPr="00374D98">
        <w:rPr>
          <w:rFonts w:cs="Arial"/>
        </w:rPr>
        <w:t xml:space="preserve">How might </w:t>
      </w:r>
      <w:proofErr w:type="gramStart"/>
      <w:r w:rsidRPr="00374D98">
        <w:rPr>
          <w:rFonts w:cs="Arial"/>
        </w:rPr>
        <w:t>monitoring</w:t>
      </w:r>
      <w:proofErr w:type="gramEnd"/>
      <w:r w:rsidRPr="00374D98">
        <w:rPr>
          <w:rFonts w:cs="Arial"/>
        </w:rPr>
        <w:t xml:space="preserve"> and accountability mechanisms </w:t>
      </w:r>
      <w:r w:rsidR="001659C0" w:rsidRPr="00374D98">
        <w:rPr>
          <w:rFonts w:cs="Arial"/>
        </w:rPr>
        <w:t xml:space="preserve">for researchers </w:t>
      </w:r>
      <w:r w:rsidR="00AA1F93" w:rsidRPr="00374D98">
        <w:rPr>
          <w:rFonts w:cs="Arial"/>
        </w:rPr>
        <w:t>(</w:t>
      </w:r>
      <w:proofErr w:type="spellStart"/>
      <w:r w:rsidR="00AA1F93" w:rsidRPr="00374D98">
        <w:rPr>
          <w:rFonts w:cs="Arial"/>
        </w:rPr>
        <w:t>eg</w:t>
      </w:r>
      <w:proofErr w:type="spellEnd"/>
      <w:r w:rsidR="00AA1F93" w:rsidRPr="00374D98">
        <w:rPr>
          <w:rFonts w:cs="Arial"/>
        </w:rPr>
        <w:t xml:space="preserve">, to ensure good design and conduct of research and communication of results) </w:t>
      </w:r>
      <w:r w:rsidRPr="00374D98">
        <w:rPr>
          <w:rFonts w:cs="Arial"/>
        </w:rPr>
        <w:t>be improved?</w:t>
      </w:r>
    </w:p>
    <w:p w:rsidR="001659C0" w:rsidRPr="00374D98" w:rsidRDefault="001659C0" w:rsidP="001659C0">
      <w:pPr>
        <w:pStyle w:val="ListParagraph"/>
        <w:spacing w:after="0" w:line="240" w:lineRule="auto"/>
        <w:rPr>
          <w:rFonts w:cs="Arial"/>
        </w:rPr>
      </w:pPr>
    </w:p>
    <w:p w:rsidR="001659C0" w:rsidRPr="00374D98" w:rsidRDefault="001659C0" w:rsidP="00CE08DE">
      <w:pPr>
        <w:pStyle w:val="ListParagraph"/>
        <w:numPr>
          <w:ilvl w:val="0"/>
          <w:numId w:val="24"/>
        </w:numPr>
        <w:spacing w:after="0" w:line="240" w:lineRule="auto"/>
        <w:rPr>
          <w:rFonts w:cs="Arial"/>
        </w:rPr>
      </w:pPr>
      <w:r w:rsidRPr="00374D98">
        <w:rPr>
          <w:rFonts w:cs="Arial"/>
        </w:rPr>
        <w:t>How might monitoring and accountability mechanisms for ethics committees be improved?</w:t>
      </w:r>
    </w:p>
    <w:p w:rsidR="009466C0" w:rsidRPr="000C5A04" w:rsidRDefault="009466C0" w:rsidP="00CE08DE">
      <w:pPr>
        <w:pStyle w:val="ListParagraph"/>
        <w:spacing w:after="0" w:line="240" w:lineRule="auto"/>
        <w:rPr>
          <w:rFonts w:cs="Arial"/>
        </w:rPr>
      </w:pPr>
    </w:p>
    <w:p w:rsidR="00CB522C" w:rsidRDefault="00CB522C" w:rsidP="00CE08DE">
      <w:pPr>
        <w:spacing w:after="0"/>
        <w:rPr>
          <w:rFonts w:asciiTheme="majorHAnsi" w:eastAsiaTheme="majorEastAsia" w:hAnsiTheme="majorHAnsi" w:cstheme="majorBidi"/>
          <w:b/>
          <w:bCs/>
          <w:color w:val="4F81BD" w:themeColor="accent1"/>
          <w:sz w:val="26"/>
          <w:szCs w:val="26"/>
        </w:rPr>
      </w:pPr>
      <w:r>
        <w:br w:type="page"/>
      </w:r>
    </w:p>
    <w:p w:rsidR="00571B34" w:rsidRPr="00571B34" w:rsidRDefault="00571B34" w:rsidP="0037513D">
      <w:pPr>
        <w:pStyle w:val="Heading2"/>
        <w:numPr>
          <w:ilvl w:val="0"/>
          <w:numId w:val="17"/>
        </w:numPr>
        <w:spacing w:before="0" w:line="240" w:lineRule="auto"/>
      </w:pPr>
      <w:bookmarkStart w:id="21" w:name="_Toc401587735"/>
      <w:r w:rsidRPr="00571B34">
        <w:t>Māori and health research</w:t>
      </w:r>
      <w:bookmarkEnd w:id="21"/>
      <w:r>
        <w:br/>
      </w:r>
    </w:p>
    <w:p w:rsidR="00571B34" w:rsidRPr="0037513D" w:rsidRDefault="00571B34" w:rsidP="0037513D">
      <w:pPr>
        <w:pStyle w:val="Heading3"/>
        <w:spacing w:before="0" w:line="240" w:lineRule="auto"/>
      </w:pPr>
      <w:r w:rsidRPr="0037513D">
        <w:t>2.1</w:t>
      </w:r>
      <w:r>
        <w:tab/>
      </w:r>
      <w:r w:rsidRPr="0037513D">
        <w:t xml:space="preserve"> Current ethics arrangements</w:t>
      </w:r>
      <w:r>
        <w:br/>
      </w:r>
    </w:p>
    <w:p w:rsidR="00571B34" w:rsidRDefault="00571B34" w:rsidP="000814A8">
      <w:pPr>
        <w:spacing w:line="240" w:lineRule="auto"/>
      </w:pPr>
      <w:r>
        <w:t>All health research conducted within New Zea</w:t>
      </w:r>
      <w:r w:rsidR="000814A8">
        <w:t xml:space="preserve">land is of relevance to Māori. </w:t>
      </w:r>
      <w:r>
        <w:t>As a Treaty partner and a priority population requiring appropriate health intervention, Māori involvement in health research is critical</w:t>
      </w:r>
      <w:r w:rsidR="000814A8">
        <w:t>.</w:t>
      </w:r>
      <w:r>
        <w:rPr>
          <w:rStyle w:val="FootnoteReference"/>
        </w:rPr>
        <w:footnoteReference w:id="4"/>
      </w:r>
      <w:r w:rsidR="000814A8">
        <w:t xml:space="preserve"> </w:t>
      </w:r>
      <w:r>
        <w:t>The principles of partnership, participation and protection implicit in the Treaty should be respected by all researchers, and, where applicable, should be incorporated into all health research proposals</w:t>
      </w:r>
      <w:r w:rsidR="000814A8">
        <w:t>.</w:t>
      </w:r>
      <w:r>
        <w:rPr>
          <w:rStyle w:val="FootnoteReference"/>
        </w:rPr>
        <w:footnoteReference w:id="5"/>
      </w:r>
    </w:p>
    <w:p w:rsidR="00571B34" w:rsidRDefault="00571B34" w:rsidP="000814A8">
      <w:pPr>
        <w:spacing w:after="120" w:line="240" w:lineRule="auto"/>
      </w:pPr>
      <w:r>
        <w:t xml:space="preserve">NEAC’s </w:t>
      </w:r>
      <w:r w:rsidRPr="00B25DDF">
        <w:rPr>
          <w:i/>
        </w:rPr>
        <w:t>Ethical Guidelines for Observational Studies</w:t>
      </w:r>
      <w:r>
        <w:t xml:space="preserve"> and </w:t>
      </w:r>
      <w:r w:rsidRPr="00B25DDF">
        <w:rPr>
          <w:i/>
        </w:rPr>
        <w:t>Ethical Guidelines for Intervention Studies</w:t>
      </w:r>
      <w:r>
        <w:t xml:space="preserve"> explain the three Treaty principles:</w:t>
      </w:r>
    </w:p>
    <w:p w:rsidR="00571B34" w:rsidRDefault="00571B34" w:rsidP="000814A8">
      <w:pPr>
        <w:pStyle w:val="ListParagraph"/>
        <w:numPr>
          <w:ilvl w:val="0"/>
          <w:numId w:val="41"/>
        </w:numPr>
        <w:spacing w:after="120" w:line="240" w:lineRule="auto"/>
        <w:ind w:left="357" w:hanging="357"/>
        <w:contextualSpacing w:val="0"/>
      </w:pPr>
      <w:r w:rsidRPr="00D47DD9">
        <w:t xml:space="preserve">partnership: working together with iwi, </w:t>
      </w:r>
      <w:proofErr w:type="spellStart"/>
      <w:r w:rsidRPr="00D47DD9">
        <w:t>hapū</w:t>
      </w:r>
      <w:proofErr w:type="spellEnd"/>
      <w:r w:rsidRPr="00D47DD9">
        <w:t xml:space="preserve">, </w:t>
      </w:r>
      <w:proofErr w:type="spellStart"/>
      <w:r w:rsidRPr="00D47DD9">
        <w:t>whānau</w:t>
      </w:r>
      <w:proofErr w:type="spellEnd"/>
      <w:r w:rsidRPr="00D47DD9">
        <w:t xml:space="preserve"> and Māori communities to ensure Māori individual and collective rights are respected and protected in order to achieve health gain</w:t>
      </w:r>
    </w:p>
    <w:p w:rsidR="00571B34" w:rsidRDefault="00571B34" w:rsidP="000814A8">
      <w:pPr>
        <w:pStyle w:val="ListParagraph"/>
        <w:numPr>
          <w:ilvl w:val="0"/>
          <w:numId w:val="41"/>
        </w:numPr>
        <w:spacing w:after="120" w:line="240" w:lineRule="auto"/>
        <w:ind w:left="357" w:hanging="357"/>
        <w:contextualSpacing w:val="0"/>
      </w:pPr>
      <w:r>
        <w:t>p</w:t>
      </w:r>
      <w:r w:rsidRPr="00D47DD9">
        <w:t>articipation: involving Māori in the design, governance, management, implementation and analysis of research, particularly research involving Māori</w:t>
      </w:r>
    </w:p>
    <w:p w:rsidR="00571B34" w:rsidRPr="00D47DD9" w:rsidRDefault="00571B34" w:rsidP="000814A8">
      <w:pPr>
        <w:pStyle w:val="ListParagraph"/>
        <w:numPr>
          <w:ilvl w:val="0"/>
          <w:numId w:val="41"/>
        </w:numPr>
        <w:spacing w:after="120" w:line="240" w:lineRule="auto"/>
        <w:ind w:left="357" w:hanging="357"/>
        <w:contextualSpacing w:val="0"/>
      </w:pPr>
      <w:proofErr w:type="gramStart"/>
      <w:r>
        <w:t>p</w:t>
      </w:r>
      <w:r w:rsidRPr="00D47DD9">
        <w:t>rotection</w:t>
      </w:r>
      <w:proofErr w:type="gramEnd"/>
      <w:r w:rsidRPr="00D47DD9">
        <w:t xml:space="preserve">: actively protecting Māori individual and collective rights, </w:t>
      </w:r>
      <w:r>
        <w:t xml:space="preserve">and </w:t>
      </w:r>
      <w:r w:rsidRPr="00D47DD9">
        <w:t>Māori data, cultural concepts, norms, practices and language in the research process</w:t>
      </w:r>
      <w:r>
        <w:t>.</w:t>
      </w:r>
    </w:p>
    <w:p w:rsidR="00571B34" w:rsidRDefault="00571B34" w:rsidP="000814A8">
      <w:pPr>
        <w:spacing w:line="240" w:lineRule="auto"/>
      </w:pPr>
      <w:r>
        <w:t xml:space="preserve">The HDEC </w:t>
      </w:r>
      <w:r w:rsidRPr="00772790">
        <w:rPr>
          <w:i/>
        </w:rPr>
        <w:t>S</w:t>
      </w:r>
      <w:r w:rsidR="00772790" w:rsidRPr="00772790">
        <w:rPr>
          <w:i/>
        </w:rPr>
        <w:t>tandard Operating Procedures</w:t>
      </w:r>
      <w:r>
        <w:t xml:space="preserve"> make it clear that researchers are responsible for ensuring that Māori are consulted in the develop</w:t>
      </w:r>
      <w:r w:rsidR="000814A8">
        <w:t xml:space="preserve">ment, and conduct, of studies. </w:t>
      </w:r>
      <w:r>
        <w:t xml:space="preserve">Where formal consultation with Māori is required by HRC’s </w:t>
      </w:r>
      <w:r w:rsidRPr="00AC763D">
        <w:rPr>
          <w:i/>
        </w:rPr>
        <w:t>Guidelines for Researchers on Health Research Involving Māori</w:t>
      </w:r>
      <w:r>
        <w:t>, HDECs should check that the consultation has been or will</w:t>
      </w:r>
      <w:r w:rsidR="000814A8">
        <w:t xml:space="preserve"> be carried out appropriately. </w:t>
      </w:r>
      <w:r>
        <w:t xml:space="preserve">Localities are responsible for checking that studies appropriately address local cultural issues (including any formal consultation with Māori).  </w:t>
      </w:r>
    </w:p>
    <w:p w:rsidR="00571B34" w:rsidRPr="0037513D" w:rsidRDefault="00571B34" w:rsidP="0037513D">
      <w:pPr>
        <w:pStyle w:val="Heading3"/>
        <w:spacing w:before="0" w:line="240" w:lineRule="auto"/>
      </w:pPr>
      <w:r w:rsidRPr="0037513D">
        <w:t xml:space="preserve">2.2 </w:t>
      </w:r>
      <w:r>
        <w:tab/>
      </w:r>
      <w:r w:rsidRPr="0037513D">
        <w:t>Issues</w:t>
      </w:r>
      <w:r>
        <w:br/>
      </w:r>
    </w:p>
    <w:p w:rsidR="00571B34" w:rsidRDefault="00571B34" w:rsidP="000814A8">
      <w:pPr>
        <w:spacing w:line="240" w:lineRule="auto"/>
      </w:pPr>
      <w:r>
        <w:t>Several stakeholders have suggested that much more needs to be done to ensure that Māori interests and issues have an impact on the way research is designed, conduct</w:t>
      </w:r>
      <w:r w:rsidR="000814A8">
        <w:t xml:space="preserve">ed, analysed and disseminated. </w:t>
      </w:r>
      <w:r>
        <w:t>Concerns have been raised about the adequacy of Māori consultation undertaken by researchers and the ability of researchers to identify benefits for Māo</w:t>
      </w:r>
      <w:r w:rsidR="000814A8">
        <w:t xml:space="preserve">ri and manage cultural issues. </w:t>
      </w:r>
      <w:r>
        <w:t xml:space="preserve">When consultation is required, it needs to be done at a much higher level than is currently the case.  </w:t>
      </w:r>
    </w:p>
    <w:p w:rsidR="00571B34" w:rsidRDefault="00571B34" w:rsidP="000814A8">
      <w:pPr>
        <w:spacing w:line="240" w:lineRule="auto"/>
      </w:pPr>
      <w:r>
        <w:t xml:space="preserve">Specific research areas raise </w:t>
      </w:r>
      <w:r w:rsidR="000814A8">
        <w:t xml:space="preserve">particular concerns for Māori. </w:t>
      </w:r>
      <w:r>
        <w:t>Where research involves the body and its parts, concerns have been expressed for Māori in relation to the nature of consent for such research, consent for future and undisclosed or unknown use, ongoing storage in tissue banks and the establishment of cell lines</w:t>
      </w:r>
      <w:r w:rsidR="000814A8">
        <w:t>.</w:t>
      </w:r>
      <w:r w:rsidR="00BA69C5">
        <w:rPr>
          <w:rStyle w:val="FootnoteReference"/>
        </w:rPr>
        <w:footnoteReference w:id="6"/>
      </w:r>
      <w:r>
        <w:t xml:space="preserve"> </w:t>
      </w:r>
    </w:p>
    <w:p w:rsidR="00571B34" w:rsidRPr="00C514FF" w:rsidRDefault="00571B34" w:rsidP="000814A8">
      <w:pPr>
        <w:spacing w:line="240" w:lineRule="auto"/>
      </w:pPr>
      <w:r>
        <w:t>Genetic research is an area of prime sensitivity because of i</w:t>
      </w:r>
      <w:r w:rsidR="000814A8">
        <w:t>ts association with whakapapa.</w:t>
      </w:r>
      <w:r w:rsidR="000814A8">
        <w:rPr>
          <w:rStyle w:val="FootnoteReference"/>
        </w:rPr>
        <w:footnoteReference w:id="7"/>
      </w:r>
      <w:r w:rsidR="000814A8">
        <w:t xml:space="preserve"> </w:t>
      </w:r>
      <w:r>
        <w:t>The association of genetic susceptibility to disease with ethnicity is problematic for population genetic research, with the potential for community disruption, stigmatisation, stereotyping or undermining either through r</w:t>
      </w:r>
      <w:r w:rsidR="000814A8">
        <w:t xml:space="preserve">esearch processes or outcomes. </w:t>
      </w:r>
      <w:r>
        <w:t>Māori communities are also concerned about new technologies and research in areas such as genetic engineering, the creation of transgenic life-forms</w:t>
      </w:r>
      <w:r w:rsidR="00BA69C5">
        <w:t>,</w:t>
      </w:r>
      <w:r>
        <w:t xml:space="preserve"> and human genome research investigating human variation and </w:t>
      </w:r>
      <w:r w:rsidRPr="000814A8">
        <w:t>diversity in indigenous populations</w:t>
      </w:r>
      <w:r w:rsidR="000814A8" w:rsidRPr="000814A8">
        <w:t>.</w:t>
      </w:r>
      <w:r w:rsidR="00BA69C5" w:rsidRPr="000814A8">
        <w:rPr>
          <w:rStyle w:val="FootnoteReference"/>
        </w:rPr>
        <w:footnoteReference w:id="8"/>
      </w:r>
    </w:p>
    <w:p w:rsidR="00571B34" w:rsidRPr="0037513D" w:rsidRDefault="00571B34" w:rsidP="000814A8">
      <w:pPr>
        <w:spacing w:line="240" w:lineRule="auto"/>
        <w:rPr>
          <w:rFonts w:eastAsia="Times New Roman" w:cs="Arial"/>
          <w:szCs w:val="24"/>
          <w:lang w:eastAsia="en-GB"/>
        </w:rPr>
      </w:pPr>
      <w:r>
        <w:t xml:space="preserve">Suggested ways to address these concerns include improving guidance, increasing availability of advice and increasing expertise on ethics </w:t>
      </w:r>
      <w:r w:rsidRPr="00571B34">
        <w:rPr>
          <w:szCs w:val="24"/>
        </w:rPr>
        <w:t xml:space="preserve">committees (at least </w:t>
      </w:r>
      <w:r w:rsidRPr="0037513D">
        <w:rPr>
          <w:rFonts w:eastAsia="Times New Roman" w:cs="Arial"/>
          <w:szCs w:val="24"/>
          <w:lang w:eastAsia="en-GB"/>
        </w:rPr>
        <w:t xml:space="preserve">one HDEC member should have a recognised awareness of </w:t>
      </w:r>
      <w:proofErr w:type="spellStart"/>
      <w:proofErr w:type="gramStart"/>
      <w:r w:rsidRPr="0037513D">
        <w:rPr>
          <w:rFonts w:eastAsia="Times New Roman" w:cs="Arial"/>
          <w:szCs w:val="24"/>
          <w:lang w:eastAsia="en-GB"/>
        </w:rPr>
        <w:t>te</w:t>
      </w:r>
      <w:proofErr w:type="spellEnd"/>
      <w:proofErr w:type="gramEnd"/>
      <w:r w:rsidRPr="0037513D">
        <w:rPr>
          <w:rFonts w:eastAsia="Times New Roman" w:cs="Arial"/>
          <w:szCs w:val="24"/>
          <w:lang w:eastAsia="en-GB"/>
        </w:rPr>
        <w:t xml:space="preserve"> reo Māori and understanding of </w:t>
      </w:r>
      <w:proofErr w:type="spellStart"/>
      <w:r w:rsidRPr="0037513D">
        <w:rPr>
          <w:rFonts w:eastAsia="Times New Roman" w:cs="Arial"/>
          <w:szCs w:val="24"/>
          <w:lang w:eastAsia="en-GB"/>
        </w:rPr>
        <w:t>tikanga</w:t>
      </w:r>
      <w:proofErr w:type="spellEnd"/>
      <w:r w:rsidR="000814A8">
        <w:rPr>
          <w:rStyle w:val="FootnoteReference"/>
          <w:rFonts w:eastAsia="Times New Roman" w:cs="Arial"/>
          <w:szCs w:val="24"/>
          <w:lang w:eastAsia="en-GB"/>
        </w:rPr>
        <w:footnoteReference w:id="9"/>
      </w:r>
      <w:r w:rsidRPr="0037513D">
        <w:rPr>
          <w:rFonts w:eastAsia="Times New Roman" w:cs="Arial"/>
          <w:szCs w:val="24"/>
          <w:lang w:eastAsia="en-GB"/>
        </w:rPr>
        <w:t xml:space="preserve"> Māori).  </w:t>
      </w:r>
    </w:p>
    <w:p w:rsidR="00571B34" w:rsidRPr="00571B34" w:rsidRDefault="00571B34" w:rsidP="000814A8">
      <w:pPr>
        <w:spacing w:line="240" w:lineRule="auto"/>
        <w:rPr>
          <w:szCs w:val="24"/>
        </w:rPr>
      </w:pPr>
      <w:r w:rsidRPr="0037513D">
        <w:rPr>
          <w:rFonts w:eastAsia="Times New Roman" w:cs="Arial"/>
          <w:szCs w:val="24"/>
          <w:lang w:eastAsia="en-GB"/>
        </w:rPr>
        <w:t>Smith (2014)</w:t>
      </w:r>
      <w:r w:rsidRPr="0037513D">
        <w:rPr>
          <w:rStyle w:val="FootnoteReference"/>
          <w:rFonts w:cs="Arial"/>
          <w:szCs w:val="24"/>
        </w:rPr>
        <w:footnoteReference w:id="10"/>
      </w:r>
      <w:r w:rsidRPr="0037513D">
        <w:rPr>
          <w:rFonts w:eastAsia="Times New Roman" w:cs="Arial"/>
          <w:szCs w:val="24"/>
          <w:lang w:eastAsia="en-GB"/>
        </w:rPr>
        <w:t xml:space="preserve"> argues for an inclusive approach where Māori ethical ideas and frameworks are at the centre of</w:t>
      </w:r>
      <w:r w:rsidR="000814A8">
        <w:rPr>
          <w:rFonts w:eastAsia="Times New Roman" w:cs="Arial"/>
          <w:szCs w:val="24"/>
          <w:lang w:eastAsia="en-GB"/>
        </w:rPr>
        <w:t xml:space="preserve"> ethical codes and guidelines. </w:t>
      </w:r>
      <w:r w:rsidRPr="0037513D">
        <w:rPr>
          <w:rFonts w:eastAsia="Times New Roman" w:cs="Arial"/>
          <w:szCs w:val="24"/>
          <w:lang w:eastAsia="en-GB"/>
        </w:rPr>
        <w:t xml:space="preserve">Cultural constructs would impact the whole research exercise and not be seen merely as ‘add-ons’.  Such an approach would ensure that Māori issues and interests are at the centre of ethical conversations and result in research outcomes that are genuinely relevant to Māori interests, aspirations and wellbeing. </w:t>
      </w:r>
      <w:r w:rsidR="000451C9" w:rsidRPr="00374D98">
        <w:rPr>
          <w:rFonts w:eastAsia="Times New Roman" w:cs="Arial"/>
          <w:szCs w:val="24"/>
          <w:lang w:eastAsia="en-GB"/>
        </w:rPr>
        <w:t>Getting the ethics right for Māori could also mean, as s</w:t>
      </w:r>
      <w:r w:rsidR="00AA1F93" w:rsidRPr="00374D98">
        <w:rPr>
          <w:rFonts w:eastAsia="Times New Roman" w:cs="Arial"/>
          <w:szCs w:val="24"/>
          <w:lang w:eastAsia="en-GB"/>
        </w:rPr>
        <w:t xml:space="preserve">ome </w:t>
      </w:r>
      <w:r w:rsidR="00374D98" w:rsidRPr="00374D98">
        <w:rPr>
          <w:rFonts w:eastAsia="Times New Roman" w:cs="Arial"/>
          <w:szCs w:val="24"/>
          <w:lang w:eastAsia="en-GB"/>
        </w:rPr>
        <w:t>commentators have stated</w:t>
      </w:r>
      <w:r w:rsidR="000451C9" w:rsidRPr="00374D98">
        <w:rPr>
          <w:rFonts w:eastAsia="Times New Roman" w:cs="Arial"/>
          <w:szCs w:val="24"/>
          <w:lang w:eastAsia="en-GB"/>
        </w:rPr>
        <w:t xml:space="preserve">, that we </w:t>
      </w:r>
      <w:r w:rsidR="00AA1F93" w:rsidRPr="00374D98">
        <w:rPr>
          <w:rFonts w:eastAsia="Times New Roman" w:cs="Arial"/>
          <w:szCs w:val="24"/>
          <w:lang w:eastAsia="en-GB"/>
        </w:rPr>
        <w:t>w</w:t>
      </w:r>
      <w:r w:rsidR="000451C9" w:rsidRPr="00374D98">
        <w:rPr>
          <w:rFonts w:eastAsia="Times New Roman" w:cs="Arial"/>
          <w:szCs w:val="24"/>
          <w:lang w:eastAsia="en-GB"/>
        </w:rPr>
        <w:t xml:space="preserve">ill </w:t>
      </w:r>
      <w:r w:rsidR="00AA1F93" w:rsidRPr="00374D98">
        <w:rPr>
          <w:rFonts w:eastAsia="Times New Roman" w:cs="Arial"/>
          <w:szCs w:val="24"/>
          <w:lang w:eastAsia="en-GB"/>
        </w:rPr>
        <w:t>get it right for everyone.</w:t>
      </w:r>
      <w:r w:rsidR="00AA1F93">
        <w:rPr>
          <w:rFonts w:eastAsia="Times New Roman" w:cs="Arial"/>
          <w:szCs w:val="24"/>
          <w:lang w:eastAsia="en-GB"/>
        </w:rPr>
        <w:t xml:space="preserve"> </w:t>
      </w:r>
    </w:p>
    <w:p w:rsidR="00571B34" w:rsidRPr="0037513D" w:rsidRDefault="00571B34" w:rsidP="0037513D">
      <w:pPr>
        <w:pStyle w:val="Heading3"/>
        <w:spacing w:before="0" w:line="240" w:lineRule="auto"/>
      </w:pPr>
      <w:r w:rsidRPr="0037513D">
        <w:t xml:space="preserve">2.3 </w:t>
      </w:r>
      <w:r>
        <w:tab/>
      </w:r>
      <w:r w:rsidRPr="0037513D">
        <w:t>Current responses</w:t>
      </w:r>
      <w:r>
        <w:br/>
      </w:r>
    </w:p>
    <w:p w:rsidR="0051465E" w:rsidRDefault="0051465E" w:rsidP="000814A8">
      <w:pPr>
        <w:spacing w:line="240" w:lineRule="auto"/>
      </w:pPr>
      <w:r w:rsidRPr="00374D98">
        <w:t xml:space="preserve">Currently, guidance on Māori ethical ideas and frameworks are largely contained in separate documents rather than being integrated in </w:t>
      </w:r>
      <w:r w:rsidR="009D4230" w:rsidRPr="00374D98">
        <w:t xml:space="preserve">the </w:t>
      </w:r>
      <w:r w:rsidRPr="00374D98">
        <w:t>general research guidelines.</w:t>
      </w:r>
      <w:r>
        <w:t xml:space="preserve"> </w:t>
      </w:r>
    </w:p>
    <w:p w:rsidR="00571B34" w:rsidRDefault="00571B34" w:rsidP="000814A8">
      <w:pPr>
        <w:spacing w:line="240" w:lineRule="auto"/>
      </w:pPr>
      <w:r>
        <w:t xml:space="preserve">The HRC’s </w:t>
      </w:r>
      <w:r w:rsidRPr="00AC763D">
        <w:rPr>
          <w:i/>
        </w:rPr>
        <w:t>Guidelines for Researchers on Health Research Involving Māori</w:t>
      </w:r>
      <w:r>
        <w:t xml:space="preserve"> inform researchers about consultation and the processes involved in initi</w:t>
      </w:r>
      <w:r w:rsidR="000814A8">
        <w:t xml:space="preserve">ating consultation with Māori. </w:t>
      </w:r>
      <w:r>
        <w:t>These guidelines note that the extent of any consultation should always be appropriate to the scale of the intended project, its relevance and significance to Māori health and the potential for applic</w:t>
      </w:r>
      <w:r w:rsidR="000814A8">
        <w:t xml:space="preserve">ation of the research results. </w:t>
      </w:r>
      <w:r>
        <w:t xml:space="preserve">These guidelines also discuss processes for research that breaches </w:t>
      </w:r>
      <w:proofErr w:type="spellStart"/>
      <w:r>
        <w:t>tikanga</w:t>
      </w:r>
      <w:proofErr w:type="spellEnd"/>
      <w:r>
        <w:t xml:space="preserve"> or involves culturally sensitive issues and genetic research involving Māori participants.  </w:t>
      </w:r>
    </w:p>
    <w:p w:rsidR="00571B34" w:rsidRDefault="00571B34" w:rsidP="000814A8">
      <w:pPr>
        <w:spacing w:line="240" w:lineRule="auto"/>
      </w:pPr>
      <w:proofErr w:type="spellStart"/>
      <w:proofErr w:type="gramStart"/>
      <w:r w:rsidRPr="00305742">
        <w:rPr>
          <w:i/>
        </w:rPr>
        <w:t>Te</w:t>
      </w:r>
      <w:proofErr w:type="spellEnd"/>
      <w:r w:rsidRPr="00305742">
        <w:rPr>
          <w:i/>
        </w:rPr>
        <w:t xml:space="preserve"> </w:t>
      </w:r>
      <w:proofErr w:type="spellStart"/>
      <w:r w:rsidRPr="00305742">
        <w:rPr>
          <w:i/>
        </w:rPr>
        <w:t>Ara</w:t>
      </w:r>
      <w:proofErr w:type="spellEnd"/>
      <w:r w:rsidRPr="00305742">
        <w:rPr>
          <w:i/>
        </w:rPr>
        <w:t xml:space="preserve"> </w:t>
      </w:r>
      <w:proofErr w:type="spellStart"/>
      <w:r w:rsidRPr="00305742">
        <w:rPr>
          <w:i/>
        </w:rPr>
        <w:t>Tika</w:t>
      </w:r>
      <w:proofErr w:type="spellEnd"/>
      <w:r w:rsidRPr="00305742">
        <w:rPr>
          <w:i/>
        </w:rPr>
        <w:t>.</w:t>
      </w:r>
      <w:proofErr w:type="gramEnd"/>
      <w:r w:rsidRPr="00305742">
        <w:rPr>
          <w:i/>
        </w:rPr>
        <w:t xml:space="preserve"> Guidelines for Māori Research Ethics: A framework for researchers and ethics committee members</w:t>
      </w:r>
      <w:r>
        <w:t xml:space="preserve"> is included as an Appendix to the </w:t>
      </w:r>
      <w:r w:rsidRPr="00305742">
        <w:rPr>
          <w:i/>
        </w:rPr>
        <w:t>Guidelines for Researchers on Health Research Involving Māori</w:t>
      </w:r>
      <w:r>
        <w:t xml:space="preserve">.  </w:t>
      </w:r>
      <w:proofErr w:type="spellStart"/>
      <w:r w:rsidRPr="00305742">
        <w:rPr>
          <w:i/>
        </w:rPr>
        <w:t>Te</w:t>
      </w:r>
      <w:proofErr w:type="spellEnd"/>
      <w:r w:rsidRPr="00305742">
        <w:rPr>
          <w:i/>
        </w:rPr>
        <w:t xml:space="preserve"> </w:t>
      </w:r>
      <w:proofErr w:type="spellStart"/>
      <w:r w:rsidRPr="00305742">
        <w:rPr>
          <w:i/>
        </w:rPr>
        <w:t>Ara</w:t>
      </w:r>
      <w:proofErr w:type="spellEnd"/>
      <w:r w:rsidRPr="00305742">
        <w:rPr>
          <w:i/>
        </w:rPr>
        <w:t xml:space="preserve"> </w:t>
      </w:r>
      <w:proofErr w:type="spellStart"/>
      <w:r w:rsidRPr="00305742">
        <w:rPr>
          <w:i/>
        </w:rPr>
        <w:t>Tika</w:t>
      </w:r>
      <w:proofErr w:type="spellEnd"/>
      <w:r>
        <w:t xml:space="preserve"> outlines a framework for addressing Māori ethical issues within the context of decision-making by ethics </w:t>
      </w:r>
      <w:r w:rsidR="000814A8">
        <w:t xml:space="preserve">committee members. </w:t>
      </w:r>
      <w:r>
        <w:t xml:space="preserve">The framework identifies four </w:t>
      </w:r>
      <w:proofErr w:type="spellStart"/>
      <w:r>
        <w:t>tikanga</w:t>
      </w:r>
      <w:proofErr w:type="spellEnd"/>
      <w:r>
        <w:t xml:space="preserve"> based principles: whakapapa (relationships), </w:t>
      </w:r>
      <w:proofErr w:type="spellStart"/>
      <w:r>
        <w:t>tika</w:t>
      </w:r>
      <w:proofErr w:type="spellEnd"/>
      <w:r>
        <w:t xml:space="preserve"> (research design), </w:t>
      </w:r>
      <w:proofErr w:type="spellStart"/>
      <w:r>
        <w:t>manaakitanga</w:t>
      </w:r>
      <w:proofErr w:type="spellEnd"/>
      <w:r>
        <w:t xml:space="preserve"> (cultural and social responsibility) </w:t>
      </w:r>
      <w:r w:rsidR="000814A8">
        <w:t xml:space="preserve">and </w:t>
      </w:r>
      <w:proofErr w:type="spellStart"/>
      <w:r w:rsidR="000814A8">
        <w:t>mana</w:t>
      </w:r>
      <w:proofErr w:type="spellEnd"/>
      <w:r w:rsidR="000814A8">
        <w:t xml:space="preserve"> (justice and equity). </w:t>
      </w:r>
      <w:r>
        <w:t xml:space="preserve">Three levels of expectations (minimum standards, good practice and best practice) are described for each principle.  </w:t>
      </w:r>
    </w:p>
    <w:p w:rsidR="00571B34" w:rsidRDefault="00571B34" w:rsidP="000814A8">
      <w:pPr>
        <w:spacing w:line="240" w:lineRule="auto"/>
      </w:pPr>
      <w:r>
        <w:t xml:space="preserve">There are many other resources that provide guidance for research with Māori, such as the </w:t>
      </w:r>
      <w:proofErr w:type="spellStart"/>
      <w:r>
        <w:t>Rangahau</w:t>
      </w:r>
      <w:proofErr w:type="spellEnd"/>
      <w:r>
        <w:t xml:space="preserve"> website (</w:t>
      </w:r>
      <w:hyperlink r:id="rId16" w:history="1">
        <w:r w:rsidRPr="003619ED">
          <w:rPr>
            <w:rStyle w:val="Hyperlink"/>
          </w:rPr>
          <w:t>www.rangahau.co.nz</w:t>
        </w:r>
      </w:hyperlink>
      <w:r>
        <w:t xml:space="preserve">) and the website dedicated to </w:t>
      </w:r>
      <w:proofErr w:type="spellStart"/>
      <w:r>
        <w:t>kaupapa</w:t>
      </w:r>
      <w:proofErr w:type="spellEnd"/>
      <w:r>
        <w:t xml:space="preserve"> Māori re</w:t>
      </w:r>
      <w:r w:rsidR="000814A8">
        <w:t xml:space="preserve">search (www.kaupapamaori.com). </w:t>
      </w:r>
      <w:r>
        <w:t>Other documents provid</w:t>
      </w:r>
      <w:r w:rsidR="000814A8">
        <w:t xml:space="preserve">e guidance on specific issues. </w:t>
      </w:r>
      <w:r>
        <w:t xml:space="preserve">For example, NEAC’s </w:t>
      </w:r>
      <w:r w:rsidRPr="007A5CA4">
        <w:rPr>
          <w:i/>
        </w:rPr>
        <w:t>Ethical Guidelines for Observational Studies</w:t>
      </w:r>
      <w:r>
        <w:t xml:space="preserve"> provides guidance on collective consent.  </w:t>
      </w:r>
    </w:p>
    <w:p w:rsidR="00185393" w:rsidRDefault="00185393" w:rsidP="000814A8">
      <w:pPr>
        <w:spacing w:line="240" w:lineRule="auto"/>
      </w:pPr>
      <w:r>
        <w:t xml:space="preserve">All District Health Boards have Māori managers and iwi partnership boards that are </w:t>
      </w:r>
      <w:r w:rsidR="00571B34">
        <w:t xml:space="preserve">able to provide advice and support to researchers.  </w:t>
      </w:r>
    </w:p>
    <w:p w:rsidR="00571B34" w:rsidRDefault="00571B34" w:rsidP="000814A8">
      <w:pPr>
        <w:spacing w:line="240" w:lineRule="auto"/>
      </w:pPr>
      <w:r>
        <w:t xml:space="preserve">The University of </w:t>
      </w:r>
      <w:proofErr w:type="spellStart"/>
      <w:r>
        <w:t>Otago’s</w:t>
      </w:r>
      <w:proofErr w:type="spellEnd"/>
      <w:r>
        <w:t xml:space="preserve"> </w:t>
      </w:r>
      <w:r w:rsidRPr="001B2429">
        <w:rPr>
          <w:i/>
        </w:rPr>
        <w:t xml:space="preserve">Research Consultation with Māori </w:t>
      </w:r>
      <w:r>
        <w:rPr>
          <w:i/>
        </w:rPr>
        <w:t>P</w:t>
      </w:r>
      <w:r w:rsidRPr="001B2429">
        <w:rPr>
          <w:i/>
        </w:rPr>
        <w:t>olicy</w:t>
      </w:r>
      <w:r>
        <w:t xml:space="preserve"> provides a framework for an appropriate and mandated consultation pr</w:t>
      </w:r>
      <w:r w:rsidR="000814A8">
        <w:t xml:space="preserve">ocess with Māori for research. </w:t>
      </w:r>
      <w:r>
        <w:t xml:space="preserve">The </w:t>
      </w:r>
      <w:proofErr w:type="spellStart"/>
      <w:r>
        <w:t>Kaitakawaenga</w:t>
      </w:r>
      <w:proofErr w:type="spellEnd"/>
      <w:r>
        <w:t xml:space="preserve"> </w:t>
      </w:r>
      <w:proofErr w:type="spellStart"/>
      <w:r>
        <w:t>Rangahau</w:t>
      </w:r>
      <w:proofErr w:type="spellEnd"/>
      <w:r>
        <w:t xml:space="preserve"> Māori (Facilitator Research Māori) facilitates access to relevant information on consultation and operates as an intermediary between</w:t>
      </w:r>
      <w:r w:rsidR="000814A8">
        <w:t xml:space="preserve"> the University and </w:t>
      </w:r>
      <w:proofErr w:type="spellStart"/>
      <w:r w:rsidR="000814A8">
        <w:t>Ngāi</w:t>
      </w:r>
      <w:proofErr w:type="spellEnd"/>
      <w:r w:rsidR="000814A8">
        <w:t xml:space="preserve"> </w:t>
      </w:r>
      <w:proofErr w:type="spellStart"/>
      <w:r w:rsidR="000814A8">
        <w:t>Tahu</w:t>
      </w:r>
      <w:proofErr w:type="spellEnd"/>
      <w:r w:rsidR="000814A8">
        <w:t xml:space="preserve">. </w:t>
      </w:r>
      <w:r>
        <w:t xml:space="preserve">The </w:t>
      </w:r>
      <w:proofErr w:type="spellStart"/>
      <w:r>
        <w:t>Ngāi</w:t>
      </w:r>
      <w:proofErr w:type="spellEnd"/>
      <w:r>
        <w:t xml:space="preserve"> </w:t>
      </w:r>
      <w:proofErr w:type="spellStart"/>
      <w:r>
        <w:t>Tahu</w:t>
      </w:r>
      <w:proofErr w:type="spellEnd"/>
      <w:r>
        <w:t xml:space="preserve"> Research Consultation Committee advises on areas that are likely (and unlikely) to be of interest to Māori and arranges detailed consultation if required.  </w:t>
      </w:r>
    </w:p>
    <w:p w:rsidR="00571B34" w:rsidRDefault="00571B34" w:rsidP="000814A8">
      <w:pPr>
        <w:spacing w:line="240" w:lineRule="auto"/>
      </w:pPr>
      <w:r>
        <w:t xml:space="preserve">Researchers who are not affiliated with a DHB or university are able to access Māori advisory services through </w:t>
      </w:r>
      <w:proofErr w:type="spellStart"/>
      <w:r>
        <w:t>Waitematā</w:t>
      </w:r>
      <w:proofErr w:type="spellEnd"/>
      <w:r>
        <w:t xml:space="preserve"> and Auckland DHBs</w:t>
      </w:r>
      <w:r w:rsidR="000814A8">
        <w:t>.</w:t>
      </w:r>
      <w:r>
        <w:rPr>
          <w:rStyle w:val="FootnoteReference"/>
        </w:rPr>
        <w:footnoteReference w:id="11"/>
      </w:r>
      <w:r w:rsidR="000814A8">
        <w:t xml:space="preserve"> </w:t>
      </w:r>
      <w:r>
        <w:t xml:space="preserve">The fee for review is $500 and the turnaround time is 28 days.  </w:t>
      </w:r>
    </w:p>
    <w:p w:rsidR="00571B34" w:rsidRPr="0037513D" w:rsidRDefault="00571B34" w:rsidP="0037513D">
      <w:pPr>
        <w:pStyle w:val="Heading3"/>
        <w:spacing w:before="0" w:line="240" w:lineRule="auto"/>
      </w:pPr>
      <w:r w:rsidRPr="0037513D">
        <w:t xml:space="preserve">2.4 </w:t>
      </w:r>
      <w:r>
        <w:tab/>
      </w:r>
      <w:r w:rsidRPr="0037513D">
        <w:t>Questions</w:t>
      </w:r>
      <w:r>
        <w:br/>
      </w:r>
    </w:p>
    <w:p w:rsidR="00571B34" w:rsidRDefault="00571B34" w:rsidP="0037513D">
      <w:pPr>
        <w:pStyle w:val="ListParagraph"/>
        <w:numPr>
          <w:ilvl w:val="0"/>
          <w:numId w:val="42"/>
        </w:numPr>
        <w:spacing w:after="0" w:line="240" w:lineRule="auto"/>
        <w:rPr>
          <w:rFonts w:cs="Arial"/>
        </w:rPr>
      </w:pPr>
      <w:r w:rsidRPr="0037513D">
        <w:rPr>
          <w:rFonts w:cs="Arial"/>
        </w:rPr>
        <w:t>What additional support or guidance on Māori research ethics would be helpful?</w:t>
      </w:r>
      <w:r w:rsidR="0037513D">
        <w:rPr>
          <w:rFonts w:cs="Arial"/>
        </w:rPr>
        <w:br/>
      </w:r>
    </w:p>
    <w:p w:rsidR="00571B34" w:rsidRDefault="00571B34" w:rsidP="0037513D">
      <w:pPr>
        <w:pStyle w:val="ListParagraph"/>
        <w:numPr>
          <w:ilvl w:val="0"/>
          <w:numId w:val="42"/>
        </w:numPr>
        <w:spacing w:after="0" w:line="240" w:lineRule="auto"/>
        <w:rPr>
          <w:rFonts w:cs="Arial"/>
        </w:rPr>
      </w:pPr>
      <w:r w:rsidRPr="0037513D">
        <w:rPr>
          <w:rFonts w:cs="Arial"/>
        </w:rPr>
        <w:t>How could Māori ethical ideas and frameworks be placed at the centre of research guidelines?</w:t>
      </w:r>
      <w:r w:rsidR="0037513D">
        <w:rPr>
          <w:rFonts w:cs="Arial"/>
        </w:rPr>
        <w:br/>
      </w:r>
    </w:p>
    <w:p w:rsidR="00374D98" w:rsidRPr="00374D98" w:rsidRDefault="00374D98" w:rsidP="00374D98">
      <w:pPr>
        <w:pStyle w:val="ListParagraph"/>
        <w:numPr>
          <w:ilvl w:val="0"/>
          <w:numId w:val="42"/>
        </w:numPr>
        <w:spacing w:after="0" w:line="240" w:lineRule="auto"/>
        <w:rPr>
          <w:rFonts w:cs="Arial"/>
        </w:rPr>
      </w:pPr>
      <w:r w:rsidRPr="00374D98">
        <w:rPr>
          <w:rFonts w:cs="Arial"/>
        </w:rPr>
        <w:t xml:space="preserve">Would </w:t>
      </w:r>
      <w:r>
        <w:rPr>
          <w:rFonts w:cs="Arial"/>
        </w:rPr>
        <w:t xml:space="preserve">integrating </w:t>
      </w:r>
      <w:r w:rsidRPr="00374D98">
        <w:rPr>
          <w:rFonts w:cs="Arial"/>
        </w:rPr>
        <w:t xml:space="preserve">Māori ethical ideas and frameworks into the core principles of New Zealand’s general research </w:t>
      </w:r>
      <w:r>
        <w:rPr>
          <w:rFonts w:cs="Arial"/>
        </w:rPr>
        <w:t>guidelines be one way of contributing to or supporting placing Māori ethical ideas and frameworks at the centre of research guidel</w:t>
      </w:r>
      <w:r w:rsidRPr="00374D98">
        <w:rPr>
          <w:rFonts w:cs="Arial"/>
        </w:rPr>
        <w:t>ines?</w:t>
      </w:r>
      <w:r w:rsidRPr="00374D98">
        <w:rPr>
          <w:rFonts w:cs="Arial"/>
        </w:rPr>
        <w:br/>
      </w:r>
    </w:p>
    <w:p w:rsidR="00571B34" w:rsidRPr="0037513D" w:rsidRDefault="00571B34" w:rsidP="0037513D">
      <w:pPr>
        <w:pStyle w:val="ListParagraph"/>
        <w:numPr>
          <w:ilvl w:val="0"/>
          <w:numId w:val="42"/>
        </w:numPr>
        <w:spacing w:after="0" w:line="240" w:lineRule="auto"/>
        <w:rPr>
          <w:rFonts w:cs="Arial"/>
        </w:rPr>
      </w:pPr>
      <w:r w:rsidRPr="0037513D">
        <w:rPr>
          <w:rFonts w:cs="Arial"/>
        </w:rPr>
        <w:t>What are the barriers for researchers in undertaking an appropriate consultation process with Māori?</w:t>
      </w:r>
      <w:r w:rsidR="0037513D">
        <w:rPr>
          <w:rFonts w:cs="Arial"/>
        </w:rPr>
        <w:br/>
      </w:r>
    </w:p>
    <w:p w:rsidR="00571B34" w:rsidRPr="0037513D" w:rsidRDefault="00571B34" w:rsidP="0037513D">
      <w:pPr>
        <w:pStyle w:val="ListParagraph"/>
        <w:numPr>
          <w:ilvl w:val="0"/>
          <w:numId w:val="42"/>
        </w:numPr>
        <w:spacing w:after="0" w:line="240" w:lineRule="auto"/>
        <w:rPr>
          <w:rFonts w:cs="Arial"/>
        </w:rPr>
      </w:pPr>
      <w:r w:rsidRPr="0037513D">
        <w:rPr>
          <w:rFonts w:cs="Arial"/>
        </w:rPr>
        <w:t>What mechanisms could be available for HDECs to obtain further advice, if required, on Māori consultation and research design?</w:t>
      </w:r>
      <w:r w:rsidR="0037513D">
        <w:rPr>
          <w:rFonts w:cs="Arial"/>
        </w:rPr>
        <w:br/>
      </w:r>
    </w:p>
    <w:p w:rsidR="00571B34" w:rsidRPr="0037513D" w:rsidRDefault="00571B34" w:rsidP="0037513D">
      <w:pPr>
        <w:pStyle w:val="ListParagraph"/>
        <w:numPr>
          <w:ilvl w:val="0"/>
          <w:numId w:val="42"/>
        </w:numPr>
        <w:spacing w:after="0" w:line="240" w:lineRule="auto"/>
        <w:rPr>
          <w:rFonts w:cs="Arial"/>
        </w:rPr>
      </w:pPr>
      <w:r w:rsidRPr="0037513D">
        <w:rPr>
          <w:rFonts w:cs="Arial"/>
        </w:rPr>
        <w:t>What more could be done to ensure research</w:t>
      </w:r>
      <w:r w:rsidR="0029498F">
        <w:rPr>
          <w:rFonts w:cs="Arial"/>
        </w:rPr>
        <w:t xml:space="preserve"> outcomes are relevant to Māori interests, aspirations and wellbeing</w:t>
      </w:r>
      <w:r w:rsidR="000814A8">
        <w:rPr>
          <w:rFonts w:cs="Arial"/>
        </w:rPr>
        <w:t>?</w:t>
      </w:r>
    </w:p>
    <w:p w:rsidR="00571B34" w:rsidRDefault="00571B34">
      <w:pPr>
        <w:rPr>
          <w:rFonts w:asciiTheme="majorHAnsi" w:eastAsiaTheme="majorEastAsia" w:hAnsiTheme="majorHAnsi" w:cstheme="majorBidi"/>
          <w:b/>
          <w:bCs/>
          <w:color w:val="4F81BD" w:themeColor="accent1"/>
          <w:sz w:val="26"/>
          <w:szCs w:val="26"/>
        </w:rPr>
      </w:pPr>
      <w:r>
        <w:br w:type="page"/>
      </w:r>
    </w:p>
    <w:p w:rsidR="009466C0" w:rsidRDefault="009466C0" w:rsidP="00CE08DE">
      <w:pPr>
        <w:pStyle w:val="Heading2"/>
        <w:numPr>
          <w:ilvl w:val="0"/>
          <w:numId w:val="17"/>
        </w:numPr>
        <w:spacing w:before="0"/>
      </w:pPr>
      <w:bookmarkStart w:id="22" w:name="_Toc401587736"/>
      <w:r>
        <w:t>Alternative ethical review structures</w:t>
      </w:r>
      <w:bookmarkEnd w:id="22"/>
    </w:p>
    <w:p w:rsidR="00CE08DE" w:rsidRPr="000250C2" w:rsidRDefault="00CE08DE" w:rsidP="000250C2">
      <w:pPr>
        <w:spacing w:after="0" w:line="240" w:lineRule="auto"/>
        <w:rPr>
          <w:rFonts w:cs="Arial"/>
        </w:rPr>
      </w:pPr>
    </w:p>
    <w:p w:rsidR="009466C0" w:rsidRPr="003B38AD" w:rsidRDefault="0037513D" w:rsidP="00CE08DE">
      <w:pPr>
        <w:pStyle w:val="Heading3"/>
        <w:spacing w:before="0"/>
      </w:pPr>
      <w:r>
        <w:t>3</w:t>
      </w:r>
      <w:r w:rsidR="009466C0">
        <w:t>.1</w:t>
      </w:r>
      <w:r w:rsidR="009466C0">
        <w:tab/>
      </w:r>
      <w:r w:rsidR="009466C0" w:rsidRPr="003B38AD">
        <w:t xml:space="preserve">Current ethics arrangements </w:t>
      </w:r>
    </w:p>
    <w:p w:rsidR="00CE08DE" w:rsidRDefault="00CE08DE" w:rsidP="00CE08DE">
      <w:pPr>
        <w:spacing w:after="0" w:line="240" w:lineRule="auto"/>
        <w:rPr>
          <w:rFonts w:cs="Arial"/>
        </w:rPr>
      </w:pPr>
    </w:p>
    <w:p w:rsidR="009466C0" w:rsidRDefault="009466C0" w:rsidP="00CE08DE">
      <w:pPr>
        <w:spacing w:after="0" w:line="240" w:lineRule="auto"/>
        <w:rPr>
          <w:rFonts w:cs="Arial"/>
        </w:rPr>
      </w:pPr>
      <w:r>
        <w:rPr>
          <w:rFonts w:cs="Arial"/>
        </w:rPr>
        <w:t xml:space="preserve">As a result of </w:t>
      </w:r>
      <w:r w:rsidR="00892C83">
        <w:rPr>
          <w:rFonts w:cs="Arial"/>
        </w:rPr>
        <w:t xml:space="preserve">the reduction in scope for </w:t>
      </w:r>
      <w:r>
        <w:rPr>
          <w:rFonts w:cs="Arial"/>
        </w:rPr>
        <w:t xml:space="preserve">HDEC </w:t>
      </w:r>
      <w:r w:rsidR="00892C83">
        <w:rPr>
          <w:rFonts w:cs="Arial"/>
        </w:rPr>
        <w:t>review</w:t>
      </w:r>
      <w:r>
        <w:rPr>
          <w:rFonts w:cs="Arial"/>
        </w:rPr>
        <w:t xml:space="preserve">, </w:t>
      </w:r>
      <w:r w:rsidR="00892C83">
        <w:rPr>
          <w:rFonts w:cs="Arial"/>
        </w:rPr>
        <w:t>new</w:t>
      </w:r>
      <w:r>
        <w:rPr>
          <w:rFonts w:cs="Arial"/>
        </w:rPr>
        <w:t xml:space="preserve"> ethical review structures have been developed, or existing ethical review structures strengthened to provide another avenue for research that</w:t>
      </w:r>
      <w:r w:rsidR="00CE08DE">
        <w:rPr>
          <w:rFonts w:cs="Arial"/>
        </w:rPr>
        <w:t xml:space="preserve"> does not require HDEC review. </w:t>
      </w:r>
      <w:r>
        <w:rPr>
          <w:rFonts w:cs="Arial"/>
        </w:rPr>
        <w:t xml:space="preserve">These alternative ethical review structures have emerged as a sector-driven response to ensure access to quality ethical review.  </w:t>
      </w:r>
    </w:p>
    <w:p w:rsidR="00CE08DE" w:rsidRDefault="00CE08DE" w:rsidP="00CE08DE">
      <w:pPr>
        <w:spacing w:after="0" w:line="240" w:lineRule="auto"/>
        <w:rPr>
          <w:rFonts w:cs="Arial"/>
        </w:rPr>
      </w:pPr>
    </w:p>
    <w:p w:rsidR="009466C0" w:rsidRDefault="009466C0" w:rsidP="00CE08DE">
      <w:pPr>
        <w:spacing w:after="0" w:line="240" w:lineRule="auto"/>
        <w:rPr>
          <w:rFonts w:cs="Arial"/>
        </w:rPr>
      </w:pPr>
      <w:r>
        <w:rPr>
          <w:rFonts w:cs="Arial"/>
        </w:rPr>
        <w:t xml:space="preserve">Examples of newly formed </w:t>
      </w:r>
      <w:r w:rsidRPr="00E57CA9">
        <w:rPr>
          <w:rFonts w:cs="Arial"/>
        </w:rPr>
        <w:t>alternative ethical review structures</w:t>
      </w:r>
      <w:r>
        <w:rPr>
          <w:rFonts w:cs="Arial"/>
        </w:rPr>
        <w:t xml:space="preserve"> include: </w:t>
      </w:r>
    </w:p>
    <w:p w:rsidR="009466C0" w:rsidRDefault="009466C0" w:rsidP="00CE08DE">
      <w:pPr>
        <w:spacing w:after="0" w:line="240" w:lineRule="auto"/>
        <w:rPr>
          <w:rFonts w:cs="Arial"/>
        </w:rPr>
      </w:pPr>
    </w:p>
    <w:p w:rsidR="009466C0" w:rsidRDefault="009466C0" w:rsidP="00CE08DE">
      <w:pPr>
        <w:pStyle w:val="ListParagraph"/>
        <w:numPr>
          <w:ilvl w:val="0"/>
          <w:numId w:val="23"/>
        </w:numPr>
        <w:spacing w:after="0" w:line="240" w:lineRule="auto"/>
        <w:rPr>
          <w:rFonts w:cs="Arial"/>
        </w:rPr>
      </w:pPr>
      <w:proofErr w:type="spellStart"/>
      <w:r w:rsidRPr="006E4234">
        <w:rPr>
          <w:rFonts w:cs="Arial"/>
        </w:rPr>
        <w:t>Otago</w:t>
      </w:r>
      <w:proofErr w:type="spellEnd"/>
      <w:r w:rsidRPr="006E4234">
        <w:rPr>
          <w:rFonts w:cs="Arial"/>
        </w:rPr>
        <w:t xml:space="preserve"> University Human Ethics Committee </w:t>
      </w:r>
      <w:r>
        <w:rPr>
          <w:rFonts w:cs="Arial"/>
        </w:rPr>
        <w:t>(Health)</w:t>
      </w:r>
      <w:r w:rsidR="00892C83">
        <w:rPr>
          <w:rFonts w:cs="Arial"/>
        </w:rPr>
        <w:t xml:space="preserve"> - </w:t>
      </w:r>
      <w:r>
        <w:rPr>
          <w:rFonts w:cs="Arial"/>
        </w:rPr>
        <w:t xml:space="preserve">established </w:t>
      </w:r>
      <w:r w:rsidRPr="006E4234">
        <w:rPr>
          <w:rFonts w:cs="Arial"/>
        </w:rPr>
        <w:t xml:space="preserve">in response to an increasing number of health research applications being submitted to the </w:t>
      </w:r>
      <w:r>
        <w:rPr>
          <w:rFonts w:cs="Arial"/>
        </w:rPr>
        <w:t>university’s existing ethics c</w:t>
      </w:r>
      <w:r w:rsidRPr="006E4234">
        <w:rPr>
          <w:rFonts w:cs="Arial"/>
        </w:rPr>
        <w:t>ommittee</w:t>
      </w:r>
      <w:r w:rsidR="00892C83">
        <w:rPr>
          <w:rFonts w:cs="Arial"/>
        </w:rPr>
        <w:t xml:space="preserve"> that had </w:t>
      </w:r>
      <w:r>
        <w:rPr>
          <w:rFonts w:cs="Arial"/>
        </w:rPr>
        <w:t xml:space="preserve">a lack of </w:t>
      </w:r>
      <w:r w:rsidRPr="006E4234">
        <w:rPr>
          <w:rFonts w:cs="Arial"/>
        </w:rPr>
        <w:t>expertise to deal with these applications.</w:t>
      </w:r>
    </w:p>
    <w:p w:rsidR="009466C0" w:rsidRDefault="009466C0" w:rsidP="00CE08DE">
      <w:pPr>
        <w:pStyle w:val="ListParagraph"/>
        <w:spacing w:after="0" w:line="240" w:lineRule="auto"/>
        <w:rPr>
          <w:rFonts w:cs="Arial"/>
        </w:rPr>
      </w:pPr>
    </w:p>
    <w:p w:rsidR="009466C0" w:rsidRDefault="009466C0" w:rsidP="00CE08DE">
      <w:pPr>
        <w:pStyle w:val="ListParagraph"/>
        <w:numPr>
          <w:ilvl w:val="0"/>
          <w:numId w:val="23"/>
        </w:numPr>
        <w:spacing w:after="0" w:line="240" w:lineRule="auto"/>
        <w:rPr>
          <w:rFonts w:cs="Arial"/>
        </w:rPr>
      </w:pPr>
      <w:r>
        <w:rPr>
          <w:rFonts w:cs="Arial"/>
        </w:rPr>
        <w:t>N</w:t>
      </w:r>
      <w:r w:rsidRPr="006E4234">
        <w:rPr>
          <w:rFonts w:cs="Arial"/>
        </w:rPr>
        <w:t>ew Zealand Ethics Committee</w:t>
      </w:r>
      <w:r w:rsidR="00892C83">
        <w:rPr>
          <w:rFonts w:cs="Arial"/>
        </w:rPr>
        <w:t xml:space="preserve"> -</w:t>
      </w:r>
      <w:r w:rsidRPr="006E4234">
        <w:rPr>
          <w:rFonts w:cs="Arial"/>
        </w:rPr>
        <w:t xml:space="preserve"> established through a one-off grant from the Ministry of Social Development</w:t>
      </w:r>
      <w:r w:rsidR="00892C83">
        <w:rPr>
          <w:rFonts w:cs="Arial"/>
        </w:rPr>
        <w:t xml:space="preserve"> to serve </w:t>
      </w:r>
      <w:r>
        <w:rPr>
          <w:lang w:val="en-US"/>
        </w:rPr>
        <w:t xml:space="preserve">any researcher not eligible for ethics review from </w:t>
      </w:r>
      <w:r w:rsidR="00CE08DE">
        <w:rPr>
          <w:lang w:val="en-US"/>
        </w:rPr>
        <w:t xml:space="preserve">institutional ethics committees </w:t>
      </w:r>
      <w:r w:rsidR="00892C83">
        <w:rPr>
          <w:lang w:val="en-US"/>
        </w:rPr>
        <w:t>or</w:t>
      </w:r>
      <w:r>
        <w:rPr>
          <w:lang w:val="en-US"/>
        </w:rPr>
        <w:t xml:space="preserve"> HDECs</w:t>
      </w:r>
      <w:r w:rsidRPr="006E4234">
        <w:rPr>
          <w:rFonts w:cs="Arial"/>
        </w:rPr>
        <w:t xml:space="preserve">. </w:t>
      </w:r>
      <w:r w:rsidR="00B42774" w:rsidRPr="00683076">
        <w:rPr>
          <w:rFonts w:cs="Arial"/>
        </w:rPr>
        <w:t>In 2013, the New Zealand Ethics Committee received 14 applications.</w:t>
      </w:r>
    </w:p>
    <w:p w:rsidR="00CE08DE" w:rsidRPr="00CE08DE" w:rsidRDefault="00CE08DE" w:rsidP="00CE08DE">
      <w:pPr>
        <w:spacing w:after="0" w:line="240" w:lineRule="auto"/>
        <w:rPr>
          <w:rFonts w:cs="Arial"/>
        </w:rPr>
      </w:pPr>
    </w:p>
    <w:p w:rsidR="009466C0" w:rsidRPr="00CE08DE" w:rsidRDefault="00B42774" w:rsidP="00F917BB">
      <w:pPr>
        <w:spacing w:after="0" w:line="240" w:lineRule="auto"/>
        <w:rPr>
          <w:rFonts w:cs="Arial"/>
          <w:b/>
        </w:rPr>
      </w:pPr>
      <w:r>
        <w:rPr>
          <w:rFonts w:cs="Arial"/>
        </w:rPr>
        <w:t xml:space="preserve">An approach to assuring effective governance is </w:t>
      </w:r>
      <w:r w:rsidR="00683076">
        <w:rPr>
          <w:rFonts w:cs="Arial"/>
        </w:rPr>
        <w:t xml:space="preserve">the </w:t>
      </w:r>
      <w:r>
        <w:rPr>
          <w:rFonts w:cs="Arial"/>
        </w:rPr>
        <w:t>HRC</w:t>
      </w:r>
      <w:r w:rsidR="00CE08DE">
        <w:rPr>
          <w:rFonts w:cs="Arial"/>
        </w:rPr>
        <w:t xml:space="preserve"> </w:t>
      </w:r>
      <w:r>
        <w:rPr>
          <w:rFonts w:cs="Arial"/>
        </w:rPr>
        <w:t>E</w:t>
      </w:r>
      <w:r w:rsidR="00CE08DE">
        <w:rPr>
          <w:rFonts w:cs="Arial"/>
        </w:rPr>
        <w:t xml:space="preserve">thics </w:t>
      </w:r>
      <w:r>
        <w:rPr>
          <w:rFonts w:cs="Arial"/>
        </w:rPr>
        <w:t>C</w:t>
      </w:r>
      <w:r w:rsidR="00CE08DE">
        <w:rPr>
          <w:rFonts w:cs="Arial"/>
        </w:rPr>
        <w:t>ommittee (HRCEC)</w:t>
      </w:r>
      <w:r>
        <w:rPr>
          <w:rFonts w:cs="Arial"/>
        </w:rPr>
        <w:t xml:space="preserve"> approval of ethics </w:t>
      </w:r>
      <w:r w:rsidR="00683076">
        <w:rPr>
          <w:rFonts w:cs="Arial"/>
        </w:rPr>
        <w:t xml:space="preserve">committees that </w:t>
      </w:r>
      <w:r w:rsidR="00892C83" w:rsidRPr="00B42774">
        <w:rPr>
          <w:rFonts w:cs="Arial"/>
        </w:rPr>
        <w:t>carry out independent ethical assessment of proposed research submitted for an HRC grant</w:t>
      </w:r>
      <w:r>
        <w:rPr>
          <w:rFonts w:cs="Arial"/>
        </w:rPr>
        <w:t>.</w:t>
      </w:r>
      <w:r w:rsidR="00CE08DE">
        <w:rPr>
          <w:rFonts w:cs="Arial"/>
        </w:rPr>
        <w:t xml:space="preserve"> </w:t>
      </w:r>
      <w:r w:rsidRPr="00CE08DE">
        <w:rPr>
          <w:rFonts w:cs="Arial"/>
        </w:rPr>
        <w:t>F</w:t>
      </w:r>
      <w:r w:rsidR="00892C83" w:rsidRPr="00CE08DE">
        <w:rPr>
          <w:rFonts w:cs="Arial"/>
        </w:rPr>
        <w:t xml:space="preserve">our </w:t>
      </w:r>
      <w:r w:rsidR="009466C0" w:rsidRPr="00CE08DE">
        <w:rPr>
          <w:rFonts w:cs="Arial"/>
        </w:rPr>
        <w:t xml:space="preserve">HDECs and </w:t>
      </w:r>
      <w:r w:rsidR="00683076" w:rsidRPr="00CE08DE">
        <w:rPr>
          <w:rFonts w:cs="Arial"/>
        </w:rPr>
        <w:t>nine</w:t>
      </w:r>
      <w:r w:rsidR="009466C0" w:rsidRPr="00CE08DE">
        <w:rPr>
          <w:rFonts w:cs="Arial"/>
        </w:rPr>
        <w:t xml:space="preserve"> </w:t>
      </w:r>
      <w:r w:rsidR="00CE08DE">
        <w:rPr>
          <w:lang w:val="en-US"/>
        </w:rPr>
        <w:t xml:space="preserve">institutional ethics committees </w:t>
      </w:r>
      <w:r w:rsidR="00892C83" w:rsidRPr="00CE08DE">
        <w:rPr>
          <w:rFonts w:cs="Arial"/>
        </w:rPr>
        <w:t>are currently</w:t>
      </w:r>
      <w:r w:rsidRPr="00CE08DE">
        <w:rPr>
          <w:rFonts w:cs="Arial"/>
        </w:rPr>
        <w:t xml:space="preserve"> HRCEC</w:t>
      </w:r>
      <w:r w:rsidR="00892C83" w:rsidRPr="00CE08DE">
        <w:rPr>
          <w:rFonts w:cs="Arial"/>
        </w:rPr>
        <w:t xml:space="preserve"> approved</w:t>
      </w:r>
      <w:r w:rsidR="00683076" w:rsidRPr="00CE08DE">
        <w:rPr>
          <w:rFonts w:cs="Arial"/>
        </w:rPr>
        <w:t>.</w:t>
      </w:r>
      <w:r w:rsidR="00CE08DE">
        <w:rPr>
          <w:rFonts w:cs="Arial"/>
        </w:rPr>
        <w:t xml:space="preserve"> </w:t>
      </w:r>
      <w:r w:rsidRPr="00CE08DE">
        <w:rPr>
          <w:rFonts w:cs="Arial"/>
        </w:rPr>
        <w:t xml:space="preserve">HRCEC </w:t>
      </w:r>
      <w:r w:rsidR="00420E59" w:rsidRPr="00CE08DE">
        <w:rPr>
          <w:rFonts w:cs="Arial"/>
        </w:rPr>
        <w:t>g</w:t>
      </w:r>
      <w:r w:rsidR="009466C0" w:rsidRPr="00CE08DE">
        <w:rPr>
          <w:rFonts w:cs="Arial"/>
        </w:rPr>
        <w:t>uidelines set out the requirements for a</w:t>
      </w:r>
      <w:r w:rsidR="00892C83" w:rsidRPr="00CE08DE">
        <w:rPr>
          <w:rFonts w:cs="Arial"/>
        </w:rPr>
        <w:t>pproval including members</w:t>
      </w:r>
      <w:r w:rsidR="009466C0" w:rsidRPr="00CE08DE">
        <w:rPr>
          <w:rFonts w:cs="Arial"/>
        </w:rPr>
        <w:t>hip,</w:t>
      </w:r>
      <w:r w:rsidR="00892C83" w:rsidRPr="00CE08DE">
        <w:rPr>
          <w:rFonts w:cs="Arial"/>
        </w:rPr>
        <w:t xml:space="preserve"> policies and </w:t>
      </w:r>
      <w:r w:rsidR="009466C0" w:rsidRPr="00CE08DE">
        <w:rPr>
          <w:rFonts w:cs="Arial"/>
        </w:rPr>
        <w:t>procedures</w:t>
      </w:r>
      <w:r w:rsidR="00892C83" w:rsidRPr="00CE08DE">
        <w:rPr>
          <w:rFonts w:cs="Arial"/>
        </w:rPr>
        <w:t xml:space="preserve">, responsiveness to Māori and ethical </w:t>
      </w:r>
      <w:r w:rsidR="009466C0" w:rsidRPr="00CE08DE">
        <w:rPr>
          <w:rFonts w:cs="Arial"/>
        </w:rPr>
        <w:t>standards</w:t>
      </w:r>
      <w:r w:rsidR="00CE08DE">
        <w:rPr>
          <w:rFonts w:cs="Arial"/>
        </w:rPr>
        <w:t xml:space="preserve"> and a</w:t>
      </w:r>
      <w:r w:rsidR="00892C83" w:rsidRPr="00CE08DE">
        <w:rPr>
          <w:rFonts w:cs="Arial"/>
        </w:rPr>
        <w:t xml:space="preserve">pproved </w:t>
      </w:r>
      <w:r w:rsidR="009466C0" w:rsidRPr="00CE08DE">
        <w:rPr>
          <w:rFonts w:cs="Arial"/>
        </w:rPr>
        <w:t>committees are required to report annually and standards must be maintained for continuity of a</w:t>
      </w:r>
      <w:r w:rsidR="00892C83" w:rsidRPr="00CE08DE">
        <w:rPr>
          <w:rFonts w:cs="Arial"/>
        </w:rPr>
        <w:t>pproval</w:t>
      </w:r>
      <w:r w:rsidR="009466C0" w:rsidRPr="00CE08DE">
        <w:rPr>
          <w:rFonts w:cs="Arial"/>
        </w:rPr>
        <w:t>.</w:t>
      </w:r>
    </w:p>
    <w:p w:rsidR="00F917BB" w:rsidRPr="00CE08DE" w:rsidRDefault="00F917BB" w:rsidP="00F917BB">
      <w:pPr>
        <w:spacing w:after="0" w:line="240" w:lineRule="auto"/>
        <w:rPr>
          <w:rFonts w:cs="Arial"/>
        </w:rPr>
      </w:pPr>
    </w:p>
    <w:p w:rsidR="009466C0" w:rsidRPr="004E2D85" w:rsidRDefault="0037513D" w:rsidP="00CE08DE">
      <w:pPr>
        <w:pStyle w:val="Heading3"/>
        <w:spacing w:before="0"/>
      </w:pPr>
      <w:r>
        <w:t>3</w:t>
      </w:r>
      <w:r w:rsidR="009466C0">
        <w:t>.2</w:t>
      </w:r>
      <w:r w:rsidR="009466C0">
        <w:tab/>
        <w:t>Issues</w:t>
      </w:r>
    </w:p>
    <w:p w:rsidR="00CE08DE" w:rsidRDefault="00CE08DE" w:rsidP="00CE08DE">
      <w:pPr>
        <w:spacing w:after="0" w:line="240" w:lineRule="auto"/>
        <w:rPr>
          <w:rFonts w:cs="Arial"/>
        </w:rPr>
      </w:pPr>
    </w:p>
    <w:p w:rsidR="00CE08DE" w:rsidRDefault="009466C0" w:rsidP="00CE08DE">
      <w:pPr>
        <w:spacing w:after="0" w:line="240" w:lineRule="auto"/>
        <w:rPr>
          <w:rFonts w:cs="Arial"/>
        </w:rPr>
      </w:pPr>
      <w:r>
        <w:rPr>
          <w:rFonts w:cs="Arial"/>
        </w:rPr>
        <w:t xml:space="preserve">The research community has expressed concern about the varying status of </w:t>
      </w:r>
      <w:r w:rsidR="00420E59">
        <w:rPr>
          <w:rFonts w:cs="Arial"/>
        </w:rPr>
        <w:t>different</w:t>
      </w:r>
      <w:r>
        <w:rPr>
          <w:rFonts w:cs="Arial"/>
        </w:rPr>
        <w:t xml:space="preserve"> ethical review structures, an absence of a consistent governance policy for new structures, and uncertainty about whether </w:t>
      </w:r>
      <w:r>
        <w:rPr>
          <w:rFonts w:ascii="ArialMäori" w:hAnsi="ArialMäori" w:cs="ArialMäori"/>
          <w:szCs w:val="24"/>
        </w:rPr>
        <w:t>parent institutions</w:t>
      </w:r>
      <w:r>
        <w:rPr>
          <w:rFonts w:cs="Arial"/>
        </w:rPr>
        <w:t xml:space="preserve"> are covered by existing indemnity arrangements. </w:t>
      </w:r>
    </w:p>
    <w:p w:rsidR="00CE08DE" w:rsidRDefault="00CE08DE" w:rsidP="00CE08DE">
      <w:pPr>
        <w:spacing w:after="0" w:line="240" w:lineRule="auto"/>
        <w:rPr>
          <w:rFonts w:cs="Arial"/>
        </w:rPr>
      </w:pPr>
    </w:p>
    <w:p w:rsidR="00420E59" w:rsidRDefault="009466C0" w:rsidP="00CE08DE">
      <w:pPr>
        <w:spacing w:after="0" w:line="240" w:lineRule="auto"/>
        <w:rPr>
          <w:rFonts w:cs="Arial"/>
        </w:rPr>
      </w:pPr>
      <w:r>
        <w:rPr>
          <w:rFonts w:cs="Arial"/>
        </w:rPr>
        <w:t xml:space="preserve">The unaccredited nature of </w:t>
      </w:r>
      <w:r w:rsidR="00420E59">
        <w:rPr>
          <w:rFonts w:cs="Arial"/>
        </w:rPr>
        <w:t xml:space="preserve">some </w:t>
      </w:r>
      <w:r>
        <w:rPr>
          <w:rFonts w:cs="Arial"/>
        </w:rPr>
        <w:t xml:space="preserve">structures could bring into question </w:t>
      </w:r>
      <w:r w:rsidR="00CE08DE">
        <w:rPr>
          <w:rFonts w:cs="Arial"/>
        </w:rPr>
        <w:t xml:space="preserve">the quality of review. </w:t>
      </w:r>
      <w:r w:rsidR="00420E59">
        <w:rPr>
          <w:rFonts w:cs="Arial"/>
        </w:rPr>
        <w:t>The key considerations for gaining HRCEC approval are that the ethics committee is able to offer sufficient protection to the research participants and can maintain the</w:t>
      </w:r>
      <w:r w:rsidR="00CE08DE">
        <w:rPr>
          <w:rFonts w:cs="Arial"/>
        </w:rPr>
        <w:t xml:space="preserve"> reputation of ethical review. </w:t>
      </w:r>
      <w:r w:rsidR="00420E59">
        <w:rPr>
          <w:rFonts w:cs="Arial"/>
        </w:rPr>
        <w:t>Where an ethics committee has not received HRCEC approval or other external review, there may be less confidence in the functioning of the committee</w:t>
      </w:r>
      <w:r w:rsidR="008034F3">
        <w:rPr>
          <w:rFonts w:cs="Arial"/>
        </w:rPr>
        <w:t xml:space="preserve">.  For example, there may be concerns about whether the membership reflects the knowledge and expertise required for quality ethical review or </w:t>
      </w:r>
      <w:r w:rsidR="00420E59">
        <w:rPr>
          <w:rFonts w:cs="Arial"/>
        </w:rPr>
        <w:t xml:space="preserve">whether </w:t>
      </w:r>
      <w:r w:rsidR="008034F3">
        <w:rPr>
          <w:rFonts w:cs="Arial"/>
        </w:rPr>
        <w:t xml:space="preserve">the committee </w:t>
      </w:r>
      <w:r w:rsidR="00420E59">
        <w:rPr>
          <w:rFonts w:cs="Arial"/>
        </w:rPr>
        <w:t xml:space="preserve">is meeting internationally set standards. </w:t>
      </w:r>
    </w:p>
    <w:p w:rsidR="00CE08DE" w:rsidRDefault="00CE08DE" w:rsidP="00CE08DE">
      <w:pPr>
        <w:spacing w:after="0" w:line="240" w:lineRule="auto"/>
        <w:rPr>
          <w:rFonts w:cs="Arial"/>
        </w:rPr>
      </w:pPr>
    </w:p>
    <w:p w:rsidR="00CE08DE" w:rsidRPr="00B42774" w:rsidRDefault="00CE08DE" w:rsidP="00CE08DE">
      <w:pPr>
        <w:spacing w:after="0" w:line="240" w:lineRule="auto"/>
        <w:rPr>
          <w:rFonts w:cs="Arial"/>
        </w:rPr>
      </w:pPr>
      <w:r>
        <w:rPr>
          <w:rFonts w:cs="Arial"/>
        </w:rPr>
        <w:t xml:space="preserve">It has also been suggested that being unaccredited impacts on the ability of an ethics committee to secure ongoing funding, even though there is evidence of demand for review from researchers. </w:t>
      </w:r>
      <w:r w:rsidRPr="00B42774">
        <w:rPr>
          <w:rFonts w:cs="Arial"/>
        </w:rPr>
        <w:t xml:space="preserve">A further issue, that remains untested, is whether an </w:t>
      </w:r>
      <w:r>
        <w:rPr>
          <w:rFonts w:cs="Arial"/>
        </w:rPr>
        <w:t xml:space="preserve">unaccredited alternative structure is covered by the relevant institution’s indemnity arrangements. NEAC would be interested in receiving any information that would help to clarify this.  </w:t>
      </w:r>
    </w:p>
    <w:p w:rsidR="00CE08DE" w:rsidRDefault="00CE08DE" w:rsidP="00CE08DE">
      <w:pPr>
        <w:spacing w:after="0" w:line="240" w:lineRule="auto"/>
        <w:rPr>
          <w:rFonts w:cs="Arial"/>
        </w:rPr>
      </w:pPr>
    </w:p>
    <w:p w:rsidR="00CE08DE" w:rsidRDefault="00420E59" w:rsidP="00CE08DE">
      <w:pPr>
        <w:spacing w:after="0" w:line="240" w:lineRule="auto"/>
        <w:rPr>
          <w:rFonts w:cs="Arial"/>
        </w:rPr>
      </w:pPr>
      <w:r>
        <w:rPr>
          <w:rFonts w:cs="Arial"/>
        </w:rPr>
        <w:t xml:space="preserve">Researchers who have sought approval from unaccredited ethics committees may find that this approval is considered inadequate when trying to publish their </w:t>
      </w:r>
      <w:r w:rsidRPr="00E57CA9">
        <w:rPr>
          <w:rFonts w:cs="Arial"/>
        </w:rPr>
        <w:t>research findings.</w:t>
      </w:r>
    </w:p>
    <w:p w:rsidR="00CE08DE" w:rsidRDefault="00CE08DE" w:rsidP="00CE08DE">
      <w:pPr>
        <w:spacing w:after="0" w:line="240" w:lineRule="auto"/>
        <w:rPr>
          <w:rFonts w:cs="Arial"/>
        </w:rPr>
      </w:pPr>
    </w:p>
    <w:p w:rsidR="00CE08DE" w:rsidRDefault="0037513D" w:rsidP="00CE08DE">
      <w:pPr>
        <w:pStyle w:val="Heading3"/>
        <w:spacing w:before="0" w:line="240" w:lineRule="auto"/>
      </w:pPr>
      <w:r>
        <w:t>3</w:t>
      </w:r>
      <w:r w:rsidR="009466C0">
        <w:t>.3</w:t>
      </w:r>
      <w:r w:rsidR="009466C0">
        <w:tab/>
      </w:r>
      <w:r w:rsidR="009466C0" w:rsidRPr="004E2D85">
        <w:t xml:space="preserve">Current responses </w:t>
      </w:r>
    </w:p>
    <w:p w:rsidR="00CE08DE" w:rsidRPr="000250C2" w:rsidRDefault="00CE08DE" w:rsidP="000250C2">
      <w:pPr>
        <w:spacing w:after="0" w:line="240" w:lineRule="auto"/>
        <w:rPr>
          <w:rFonts w:cs="Arial"/>
        </w:rPr>
      </w:pPr>
    </w:p>
    <w:p w:rsidR="00420E59" w:rsidRPr="00CE08DE" w:rsidRDefault="00420E59" w:rsidP="00CE08DE">
      <w:pPr>
        <w:pStyle w:val="Heading3"/>
        <w:spacing w:before="0" w:line="240" w:lineRule="auto"/>
        <w:rPr>
          <w:rFonts w:ascii="Arial" w:hAnsi="Arial" w:cs="Arial"/>
          <w:b w:val="0"/>
          <w:color w:val="auto"/>
          <w:szCs w:val="24"/>
        </w:rPr>
      </w:pPr>
      <w:r w:rsidRPr="00CE08DE">
        <w:rPr>
          <w:rFonts w:ascii="Arial" w:hAnsi="Arial" w:cs="Arial"/>
          <w:b w:val="0"/>
          <w:color w:val="auto"/>
          <w:szCs w:val="24"/>
        </w:rPr>
        <w:t>The HRCEC recognises that ethics committees may seek approval even if they do not review HRC funded research or if only some resea</w:t>
      </w:r>
      <w:r w:rsidR="00CE08DE" w:rsidRPr="00CE08DE">
        <w:rPr>
          <w:rFonts w:ascii="Arial" w:hAnsi="Arial" w:cs="Arial"/>
          <w:b w:val="0"/>
          <w:color w:val="auto"/>
          <w:szCs w:val="24"/>
        </w:rPr>
        <w:t>rch they review i</w:t>
      </w:r>
      <w:r w:rsidR="00CE08DE">
        <w:rPr>
          <w:rFonts w:ascii="Arial" w:hAnsi="Arial" w:cs="Arial"/>
          <w:b w:val="0"/>
          <w:color w:val="auto"/>
          <w:szCs w:val="24"/>
        </w:rPr>
        <w:t>s</w:t>
      </w:r>
      <w:r w:rsidR="00CE08DE" w:rsidRPr="00CE08DE">
        <w:rPr>
          <w:rFonts w:ascii="Arial" w:hAnsi="Arial" w:cs="Arial"/>
          <w:b w:val="0"/>
          <w:color w:val="auto"/>
          <w:szCs w:val="24"/>
        </w:rPr>
        <w:t xml:space="preserve"> HRC funded. </w:t>
      </w:r>
      <w:r w:rsidR="00B42774" w:rsidRPr="00CE08DE">
        <w:rPr>
          <w:rFonts w:ascii="Arial" w:hAnsi="Arial" w:cs="Arial"/>
          <w:b w:val="0"/>
          <w:color w:val="auto"/>
          <w:szCs w:val="24"/>
        </w:rPr>
        <w:t>However, the HRCEC has reported that this rarely happens.</w:t>
      </w:r>
    </w:p>
    <w:p w:rsidR="00CE08DE" w:rsidRPr="00CE08DE" w:rsidRDefault="00CE08DE" w:rsidP="00CE08DE">
      <w:pPr>
        <w:spacing w:after="0" w:line="240" w:lineRule="auto"/>
      </w:pPr>
    </w:p>
    <w:p w:rsidR="009466C0" w:rsidRPr="00CE08DE" w:rsidRDefault="00420E59" w:rsidP="008034F3">
      <w:pPr>
        <w:spacing w:after="0" w:line="240" w:lineRule="auto"/>
        <w:rPr>
          <w:rFonts w:cs="Arial"/>
        </w:rPr>
      </w:pPr>
      <w:r>
        <w:rPr>
          <w:rFonts w:cs="Arial"/>
        </w:rPr>
        <w:t>Some ethical review committees have</w:t>
      </w:r>
      <w:r w:rsidR="009466C0" w:rsidRPr="00E57CA9">
        <w:rPr>
          <w:rFonts w:cs="Arial"/>
        </w:rPr>
        <w:t xml:space="preserve"> good processes for seeking expert opinion when it is clear that the committee</w:t>
      </w:r>
      <w:r>
        <w:rPr>
          <w:rFonts w:cs="Arial"/>
        </w:rPr>
        <w:t xml:space="preserve"> does not have that expertise.</w:t>
      </w:r>
      <w:r w:rsidR="00CE08DE">
        <w:rPr>
          <w:rFonts w:cs="Arial"/>
        </w:rPr>
        <w:t xml:space="preserve"> For example, the</w:t>
      </w:r>
      <w:r>
        <w:rPr>
          <w:rFonts w:cs="Arial"/>
        </w:rPr>
        <w:t xml:space="preserve"> </w:t>
      </w:r>
      <w:r w:rsidR="009466C0" w:rsidRPr="00CE08DE">
        <w:rPr>
          <w:rFonts w:cs="Arial"/>
        </w:rPr>
        <w:t>Auckland University of Technology Ethics Committee will refer to the HRC or seek relevant expert advice for particular applications</w:t>
      </w:r>
      <w:r w:rsidR="00CE08DE">
        <w:rPr>
          <w:rFonts w:cs="Arial"/>
        </w:rPr>
        <w:t xml:space="preserve"> and the </w:t>
      </w:r>
      <w:proofErr w:type="spellStart"/>
      <w:r w:rsidR="009466C0" w:rsidRPr="00CE08DE">
        <w:rPr>
          <w:rFonts w:cs="Arial"/>
        </w:rPr>
        <w:t>Otago</w:t>
      </w:r>
      <w:proofErr w:type="spellEnd"/>
      <w:r w:rsidR="009466C0" w:rsidRPr="00CE08DE">
        <w:rPr>
          <w:rFonts w:cs="Arial"/>
        </w:rPr>
        <w:t xml:space="preserve"> University Human Ethics Committee (Health) will seek advice from external experts where required.</w:t>
      </w:r>
    </w:p>
    <w:p w:rsidR="00CE08DE" w:rsidRDefault="00CE08DE" w:rsidP="00CE08DE">
      <w:pPr>
        <w:spacing w:after="0" w:line="240" w:lineRule="auto"/>
        <w:rPr>
          <w:rFonts w:cs="Arial"/>
        </w:rPr>
      </w:pPr>
    </w:p>
    <w:p w:rsidR="00C93182" w:rsidRPr="00C93182" w:rsidRDefault="00C93182" w:rsidP="00CE08DE">
      <w:pPr>
        <w:spacing w:after="0" w:line="240" w:lineRule="auto"/>
        <w:rPr>
          <w:rFonts w:cs="Arial"/>
        </w:rPr>
      </w:pPr>
      <w:r>
        <w:rPr>
          <w:rFonts w:cs="Arial"/>
        </w:rPr>
        <w:t>The New Zealand Ethics Committee’s indemnity status is clearly outlined in the application form for researchers seeking ethica</w:t>
      </w:r>
      <w:r w:rsidR="00CE08DE">
        <w:rPr>
          <w:rFonts w:cs="Arial"/>
        </w:rPr>
        <w:t xml:space="preserve">l review. </w:t>
      </w:r>
      <w:r>
        <w:rPr>
          <w:rFonts w:cs="Arial"/>
        </w:rPr>
        <w:t xml:space="preserve">An indemnity clause states that the Committee does not assume responsibility for any legal liability that might be incurred by a researcher in carrying out </w:t>
      </w:r>
      <w:r w:rsidR="00CE08DE">
        <w:rPr>
          <w:rFonts w:cs="Arial"/>
        </w:rPr>
        <w:t xml:space="preserve">research that it has reviewed. </w:t>
      </w:r>
      <w:r>
        <w:rPr>
          <w:rFonts w:cs="Arial"/>
        </w:rPr>
        <w:t xml:space="preserve">Researchers are required to sign a statement that they agree to indemnify the New Zealand Ethics Committee against any action by a third party as a result of the research.  </w:t>
      </w:r>
    </w:p>
    <w:p w:rsidR="00CE08DE" w:rsidRPr="008034F3" w:rsidRDefault="00CE08DE" w:rsidP="008034F3">
      <w:pPr>
        <w:spacing w:after="0" w:line="240" w:lineRule="auto"/>
        <w:rPr>
          <w:rFonts w:cs="Arial"/>
        </w:rPr>
      </w:pPr>
    </w:p>
    <w:p w:rsidR="009466C0" w:rsidRPr="00BF516A" w:rsidRDefault="0037513D" w:rsidP="00CE08DE">
      <w:pPr>
        <w:pStyle w:val="Heading3"/>
        <w:spacing w:before="0"/>
      </w:pPr>
      <w:r>
        <w:t>3</w:t>
      </w:r>
      <w:r w:rsidR="009466C0">
        <w:t>.4</w:t>
      </w:r>
      <w:r w:rsidR="009466C0">
        <w:tab/>
      </w:r>
      <w:r w:rsidR="009466C0" w:rsidRPr="004E2D85">
        <w:t xml:space="preserve">Other possible responses </w:t>
      </w:r>
    </w:p>
    <w:p w:rsidR="00CE08DE" w:rsidRPr="008034F3" w:rsidRDefault="00CE08DE" w:rsidP="008034F3">
      <w:pPr>
        <w:spacing w:after="0" w:line="240" w:lineRule="auto"/>
        <w:rPr>
          <w:rFonts w:cs="Arial"/>
        </w:rPr>
      </w:pPr>
    </w:p>
    <w:p w:rsidR="009466C0" w:rsidRDefault="009466C0" w:rsidP="00CE08DE">
      <w:pPr>
        <w:pStyle w:val="Heading3"/>
        <w:spacing w:before="0"/>
        <w:rPr>
          <w:rFonts w:cs="Arial"/>
        </w:rPr>
      </w:pPr>
      <w:r>
        <w:t>Accreditation and monitoring</w:t>
      </w:r>
    </w:p>
    <w:p w:rsidR="00420E59" w:rsidRDefault="00420E59" w:rsidP="00CE08DE">
      <w:pPr>
        <w:spacing w:after="0" w:line="240" w:lineRule="auto"/>
        <w:rPr>
          <w:rFonts w:cs="Arial"/>
        </w:rPr>
      </w:pPr>
    </w:p>
    <w:p w:rsidR="009466C0" w:rsidRPr="00420E59" w:rsidRDefault="00420E59" w:rsidP="00CE08DE">
      <w:pPr>
        <w:spacing w:after="0" w:line="240" w:lineRule="auto"/>
        <w:rPr>
          <w:rFonts w:cs="Arial"/>
        </w:rPr>
      </w:pPr>
      <w:r>
        <w:rPr>
          <w:rFonts w:cs="Arial"/>
        </w:rPr>
        <w:t>In general, ethics committees that do not have HRCEC approval are reviewing low</w:t>
      </w:r>
      <w:r w:rsidR="00CE08DE">
        <w:rPr>
          <w:rFonts w:cs="Arial"/>
        </w:rPr>
        <w:t xml:space="preserve"> risk research. </w:t>
      </w:r>
      <w:r>
        <w:rPr>
          <w:rFonts w:cs="Arial"/>
        </w:rPr>
        <w:t>A formal approval process such as that offered by the HRCEC may not be n</w:t>
      </w:r>
      <w:r w:rsidR="00CE08DE">
        <w:rPr>
          <w:rFonts w:cs="Arial"/>
        </w:rPr>
        <w:t xml:space="preserve">ecessary for these committees. </w:t>
      </w:r>
      <w:r>
        <w:rPr>
          <w:rFonts w:cs="Arial"/>
        </w:rPr>
        <w:t>It may be more appropriate to develop a new</w:t>
      </w:r>
      <w:r w:rsidR="009466C0">
        <w:rPr>
          <w:rFonts w:cs="Arial"/>
        </w:rPr>
        <w:t xml:space="preserve"> monitoring and/or reporting regime </w:t>
      </w:r>
      <w:r>
        <w:rPr>
          <w:rFonts w:cs="Arial"/>
        </w:rPr>
        <w:t>for these review b</w:t>
      </w:r>
      <w:r w:rsidR="009466C0">
        <w:rPr>
          <w:rFonts w:cs="Arial"/>
        </w:rPr>
        <w:t>odies</w:t>
      </w:r>
      <w:r w:rsidR="00CE08DE">
        <w:rPr>
          <w:rFonts w:cs="Arial"/>
        </w:rPr>
        <w:t xml:space="preserve">. </w:t>
      </w:r>
      <w:r w:rsidR="009466C0" w:rsidRPr="006F6AA3">
        <w:rPr>
          <w:rFonts w:cs="Arial"/>
        </w:rPr>
        <w:t xml:space="preserve">For example, in Australia, </w:t>
      </w:r>
      <w:r w:rsidR="009466C0">
        <w:rPr>
          <w:rFonts w:cs="Arial"/>
        </w:rPr>
        <w:t xml:space="preserve">where a Human Research Ethics Committee has been established, they are encouraged to register with </w:t>
      </w:r>
      <w:r w:rsidR="006965F5">
        <w:rPr>
          <w:rFonts w:cs="Arial"/>
        </w:rPr>
        <w:t xml:space="preserve">and report annually to </w:t>
      </w:r>
      <w:r w:rsidR="009466C0">
        <w:rPr>
          <w:rFonts w:cs="Arial"/>
        </w:rPr>
        <w:t>the National Health and Medical Research Council</w:t>
      </w:r>
      <w:r w:rsidR="009466C0" w:rsidRPr="006F6AA3">
        <w:rPr>
          <w:rFonts w:cs="Arial"/>
        </w:rPr>
        <w:t>.</w:t>
      </w:r>
      <w:r w:rsidR="009466C0">
        <w:rPr>
          <w:rStyle w:val="FootnoteReference"/>
          <w:rFonts w:cs="Arial"/>
        </w:rPr>
        <w:footnoteReference w:id="12"/>
      </w:r>
    </w:p>
    <w:p w:rsidR="008034F3" w:rsidRPr="008034F3" w:rsidRDefault="008034F3" w:rsidP="008034F3">
      <w:pPr>
        <w:spacing w:after="0" w:line="240" w:lineRule="auto"/>
        <w:rPr>
          <w:rFonts w:cs="Arial"/>
        </w:rPr>
      </w:pPr>
    </w:p>
    <w:p w:rsidR="009466C0" w:rsidRDefault="009466C0" w:rsidP="00CE08DE">
      <w:pPr>
        <w:pStyle w:val="Heading3"/>
        <w:spacing w:before="0" w:line="240" w:lineRule="auto"/>
        <w:rPr>
          <w:rFonts w:cs="Arial"/>
        </w:rPr>
      </w:pPr>
      <w:r>
        <w:t>Fee-for-review</w:t>
      </w:r>
    </w:p>
    <w:p w:rsidR="00CE08DE" w:rsidRDefault="00CE08DE" w:rsidP="00CE08DE">
      <w:pPr>
        <w:spacing w:after="0" w:line="240" w:lineRule="auto"/>
        <w:rPr>
          <w:rFonts w:cs="Arial"/>
        </w:rPr>
      </w:pPr>
    </w:p>
    <w:p w:rsidR="009466C0" w:rsidRDefault="00420E59" w:rsidP="00CE08DE">
      <w:pPr>
        <w:spacing w:after="0" w:line="240" w:lineRule="auto"/>
        <w:rPr>
          <w:rFonts w:cs="Arial"/>
        </w:rPr>
      </w:pPr>
      <w:r>
        <w:rPr>
          <w:rFonts w:cs="Arial"/>
        </w:rPr>
        <w:t>Some stakeholders have suggested that introducing a fee for review</w:t>
      </w:r>
      <w:r>
        <w:rPr>
          <w:rStyle w:val="FootnoteReference"/>
          <w:rFonts w:cs="Arial"/>
        </w:rPr>
        <w:footnoteReference w:id="13"/>
      </w:r>
      <w:r>
        <w:rPr>
          <w:rFonts w:cs="Arial"/>
        </w:rPr>
        <w:t xml:space="preserve"> would ensure that more research gets ethical review and improve the sustainability of</w:t>
      </w:r>
      <w:r w:rsidR="00CE08DE">
        <w:rPr>
          <w:rFonts w:cs="Arial"/>
        </w:rPr>
        <w:t xml:space="preserve"> some of the newer structures. </w:t>
      </w:r>
      <w:r>
        <w:rPr>
          <w:rFonts w:cs="Arial"/>
        </w:rPr>
        <w:t xml:space="preserve">Introducing a fee for ethical review </w:t>
      </w:r>
      <w:r w:rsidR="006965F5">
        <w:rPr>
          <w:rFonts w:cs="Arial"/>
        </w:rPr>
        <w:t>may</w:t>
      </w:r>
      <w:r>
        <w:rPr>
          <w:rFonts w:cs="Arial"/>
        </w:rPr>
        <w:t xml:space="preserve"> mean that HRCEC approved committees could offer review to a broader range of researchers, </w:t>
      </w:r>
      <w:r w:rsidR="006965F5">
        <w:rPr>
          <w:rFonts w:cs="Arial"/>
        </w:rPr>
        <w:t>for example,</w:t>
      </w:r>
      <w:r>
        <w:rPr>
          <w:rFonts w:cs="Arial"/>
        </w:rPr>
        <w:t xml:space="preserve"> an </w:t>
      </w:r>
      <w:r w:rsidR="009466C0" w:rsidRPr="00D42AA9">
        <w:rPr>
          <w:rFonts w:cs="Arial"/>
        </w:rPr>
        <w:t xml:space="preserve">institutional ethics committees </w:t>
      </w:r>
      <w:r>
        <w:rPr>
          <w:rFonts w:cs="Arial"/>
        </w:rPr>
        <w:t xml:space="preserve">might </w:t>
      </w:r>
      <w:r w:rsidR="009466C0" w:rsidRPr="00D42AA9">
        <w:rPr>
          <w:rFonts w:cs="Arial"/>
        </w:rPr>
        <w:t xml:space="preserve">review </w:t>
      </w:r>
      <w:r>
        <w:rPr>
          <w:rFonts w:cs="Arial"/>
        </w:rPr>
        <w:t xml:space="preserve">research that has no connection to their organisation.  </w:t>
      </w:r>
    </w:p>
    <w:p w:rsidR="00CE08DE" w:rsidRDefault="00CE08DE" w:rsidP="00CE08DE">
      <w:pPr>
        <w:spacing w:after="0" w:line="240" w:lineRule="auto"/>
        <w:rPr>
          <w:rFonts w:cs="Arial"/>
        </w:rPr>
      </w:pPr>
    </w:p>
    <w:p w:rsidR="009466C0" w:rsidRDefault="009466C0" w:rsidP="00CE08DE">
      <w:pPr>
        <w:spacing w:after="0" w:line="240" w:lineRule="auto"/>
        <w:rPr>
          <w:rFonts w:cs="Arial"/>
        </w:rPr>
      </w:pPr>
      <w:r>
        <w:rPr>
          <w:rFonts w:cs="Arial"/>
        </w:rPr>
        <w:t>Australia’s National Health and Medical Research Council allow registered Human Research Ethics Committees to charge a fee f</w:t>
      </w:r>
      <w:r w:rsidR="00CE08DE">
        <w:rPr>
          <w:rFonts w:cs="Arial"/>
        </w:rPr>
        <w:t>or ethical review. O</w:t>
      </w:r>
      <w:r>
        <w:rPr>
          <w:rFonts w:cs="Arial"/>
        </w:rPr>
        <w:t>rganisation</w:t>
      </w:r>
      <w:r w:rsidR="00CE08DE">
        <w:rPr>
          <w:rFonts w:cs="Arial"/>
        </w:rPr>
        <w:t>s</w:t>
      </w:r>
      <w:r>
        <w:rPr>
          <w:rFonts w:cs="Arial"/>
        </w:rPr>
        <w:t xml:space="preserve"> or institution</w:t>
      </w:r>
      <w:r w:rsidR="00CE08DE">
        <w:rPr>
          <w:rFonts w:cs="Arial"/>
        </w:rPr>
        <w:t xml:space="preserve">s that </w:t>
      </w:r>
      <w:r>
        <w:rPr>
          <w:rFonts w:cs="Arial"/>
        </w:rPr>
        <w:t>charge fees for the services of their registered H</w:t>
      </w:r>
      <w:r w:rsidR="006965F5">
        <w:rPr>
          <w:rFonts w:cs="Arial"/>
        </w:rPr>
        <w:t>uman Research Ethics Committee</w:t>
      </w:r>
      <w:r w:rsidR="00CE08DE">
        <w:rPr>
          <w:rFonts w:cs="Arial"/>
        </w:rPr>
        <w:t xml:space="preserve"> </w:t>
      </w:r>
      <w:r>
        <w:rPr>
          <w:rFonts w:cs="Arial"/>
        </w:rPr>
        <w:t>are responsible for developing a publicly available and comprehensive policy that includes the rates/fees, an explanation of how those rates were determined, who pays, and how the organisa</w:t>
      </w:r>
      <w:r w:rsidR="00CE08DE">
        <w:rPr>
          <w:rFonts w:cs="Arial"/>
        </w:rPr>
        <w:t xml:space="preserve">tion will make use of the fee. </w:t>
      </w:r>
      <w:r>
        <w:rPr>
          <w:rFonts w:cs="Arial"/>
        </w:rPr>
        <w:t xml:space="preserve">Such a policy </w:t>
      </w:r>
      <w:r w:rsidR="00420E59">
        <w:rPr>
          <w:rFonts w:cs="Arial"/>
        </w:rPr>
        <w:t>provides reassurance that t</w:t>
      </w:r>
      <w:r>
        <w:rPr>
          <w:rFonts w:cs="Arial"/>
        </w:rPr>
        <w:t xml:space="preserve">he integrity of the process of ethical review is not compromised by charging a fee.  </w:t>
      </w:r>
    </w:p>
    <w:p w:rsidR="00CE08DE" w:rsidRDefault="00CE08DE" w:rsidP="00CE08DE">
      <w:pPr>
        <w:spacing w:after="0" w:line="240" w:lineRule="auto"/>
        <w:rPr>
          <w:rFonts w:cs="Arial"/>
        </w:rPr>
      </w:pPr>
    </w:p>
    <w:p w:rsidR="00CE08DE" w:rsidRDefault="009466C0" w:rsidP="00CE08DE">
      <w:pPr>
        <w:spacing w:after="0" w:line="240" w:lineRule="auto"/>
        <w:rPr>
          <w:rFonts w:cs="Arial"/>
        </w:rPr>
      </w:pPr>
      <w:r>
        <w:rPr>
          <w:rFonts w:cs="Arial"/>
        </w:rPr>
        <w:t>Charging a fee may also help with the sustainability of unaccredited alternative ethical review structu</w:t>
      </w:r>
      <w:r w:rsidR="00CE08DE">
        <w:rPr>
          <w:rFonts w:cs="Arial"/>
        </w:rPr>
        <w:t xml:space="preserve">res </w:t>
      </w:r>
      <w:r w:rsidR="006965F5">
        <w:rPr>
          <w:rFonts w:cs="Arial"/>
        </w:rPr>
        <w:t>that</w:t>
      </w:r>
      <w:r w:rsidR="00CE08DE">
        <w:rPr>
          <w:rFonts w:cs="Arial"/>
        </w:rPr>
        <w:t xml:space="preserve"> cannot attain funding. </w:t>
      </w:r>
      <w:r>
        <w:rPr>
          <w:rFonts w:cs="Arial"/>
        </w:rPr>
        <w:t xml:space="preserve">A fee may help recoup some of the costs involved, and transparency around </w:t>
      </w:r>
      <w:r w:rsidR="0012259E">
        <w:rPr>
          <w:rFonts w:cs="Arial"/>
        </w:rPr>
        <w:t xml:space="preserve">use of </w:t>
      </w:r>
      <w:r>
        <w:rPr>
          <w:rFonts w:cs="Arial"/>
        </w:rPr>
        <w:t xml:space="preserve">fees may help mitigate concerns </w:t>
      </w:r>
      <w:r w:rsidR="0012259E">
        <w:rPr>
          <w:rFonts w:cs="Arial"/>
        </w:rPr>
        <w:t xml:space="preserve">that researchers could be </w:t>
      </w:r>
      <w:r>
        <w:rPr>
          <w:rFonts w:cs="Arial"/>
        </w:rPr>
        <w:t xml:space="preserve">'paying for a result'. </w:t>
      </w:r>
    </w:p>
    <w:p w:rsidR="00CE08DE" w:rsidRPr="008034F3" w:rsidRDefault="00CE08DE" w:rsidP="008034F3">
      <w:pPr>
        <w:spacing w:after="0" w:line="240" w:lineRule="auto"/>
        <w:rPr>
          <w:rFonts w:cs="Arial"/>
        </w:rPr>
      </w:pPr>
    </w:p>
    <w:p w:rsidR="00CE08DE" w:rsidRDefault="0037513D" w:rsidP="00CE08DE">
      <w:pPr>
        <w:pStyle w:val="Heading3"/>
        <w:spacing w:before="0" w:line="240" w:lineRule="auto"/>
      </w:pPr>
      <w:r>
        <w:t>3</w:t>
      </w:r>
      <w:r w:rsidR="009466C0">
        <w:t>.5</w:t>
      </w:r>
      <w:r w:rsidR="009466C0">
        <w:tab/>
        <w:t>Questions</w:t>
      </w:r>
    </w:p>
    <w:p w:rsidR="00CE08DE" w:rsidRPr="00CE08DE" w:rsidRDefault="00CE08DE" w:rsidP="00CE08DE">
      <w:pPr>
        <w:spacing w:after="0"/>
      </w:pPr>
    </w:p>
    <w:p w:rsidR="00FE7DAA" w:rsidRDefault="00FE7DAA" w:rsidP="00CE08DE">
      <w:pPr>
        <w:pStyle w:val="ListParagraph"/>
        <w:numPr>
          <w:ilvl w:val="0"/>
          <w:numId w:val="31"/>
        </w:numPr>
        <w:spacing w:after="0" w:line="240" w:lineRule="auto"/>
        <w:rPr>
          <w:rFonts w:cs="Arial"/>
        </w:rPr>
      </w:pPr>
      <w:r w:rsidRPr="00CE08DE">
        <w:rPr>
          <w:rFonts w:cs="Arial"/>
        </w:rPr>
        <w:t>What mix of HDECs and institutional ethics committees (both public and private sector) should be allowed or encouraged?</w:t>
      </w:r>
    </w:p>
    <w:p w:rsidR="00CE08DE" w:rsidRPr="00CE08DE" w:rsidRDefault="00CE08DE" w:rsidP="00CE08DE">
      <w:pPr>
        <w:pStyle w:val="ListParagraph"/>
        <w:spacing w:after="0" w:line="240" w:lineRule="auto"/>
        <w:rPr>
          <w:rFonts w:cs="Arial"/>
        </w:rPr>
      </w:pPr>
    </w:p>
    <w:p w:rsidR="00CE08DE" w:rsidRDefault="00FE7DAA" w:rsidP="00CE08DE">
      <w:pPr>
        <w:pStyle w:val="ListParagraph"/>
        <w:numPr>
          <w:ilvl w:val="0"/>
          <w:numId w:val="31"/>
        </w:numPr>
        <w:spacing w:after="0" w:line="240" w:lineRule="auto"/>
        <w:rPr>
          <w:rFonts w:cs="Arial"/>
        </w:rPr>
      </w:pPr>
      <w:r w:rsidRPr="00CE08DE">
        <w:rPr>
          <w:rFonts w:cs="Arial"/>
        </w:rPr>
        <w:t xml:space="preserve">Should the emergence of ethics committees that are established by standalone businesses or trusts be allowed, or even encouraged? </w:t>
      </w:r>
    </w:p>
    <w:p w:rsidR="00CE08DE" w:rsidRPr="00CE08DE" w:rsidRDefault="00CE08DE" w:rsidP="00CE08DE">
      <w:pPr>
        <w:spacing w:after="0" w:line="240" w:lineRule="auto"/>
        <w:rPr>
          <w:rFonts w:cs="Arial"/>
        </w:rPr>
      </w:pPr>
    </w:p>
    <w:p w:rsidR="009466C0" w:rsidRDefault="00F22DCE" w:rsidP="00CE08DE">
      <w:pPr>
        <w:pStyle w:val="ListParagraph"/>
        <w:numPr>
          <w:ilvl w:val="0"/>
          <w:numId w:val="31"/>
        </w:numPr>
        <w:spacing w:after="0" w:line="240" w:lineRule="auto"/>
        <w:rPr>
          <w:rFonts w:cs="Arial"/>
        </w:rPr>
      </w:pPr>
      <w:r w:rsidRPr="00CE08DE">
        <w:rPr>
          <w:rFonts w:cs="Arial"/>
        </w:rPr>
        <w:t>Should alternative ethical review structures be mon</w:t>
      </w:r>
      <w:r w:rsidR="009466C0" w:rsidRPr="00CE08DE">
        <w:rPr>
          <w:rFonts w:cs="Arial"/>
        </w:rPr>
        <w:t>itor</w:t>
      </w:r>
      <w:r w:rsidRPr="00CE08DE">
        <w:rPr>
          <w:rFonts w:cs="Arial"/>
        </w:rPr>
        <w:t xml:space="preserve">ed, and if so, who </w:t>
      </w:r>
      <w:r w:rsidR="006965F5">
        <w:rPr>
          <w:rFonts w:cs="Arial"/>
        </w:rPr>
        <w:t>c</w:t>
      </w:r>
      <w:r w:rsidRPr="00CE08DE">
        <w:rPr>
          <w:rFonts w:cs="Arial"/>
        </w:rPr>
        <w:t xml:space="preserve">ould do this?  </w:t>
      </w:r>
    </w:p>
    <w:p w:rsidR="00CE08DE" w:rsidRPr="00CE08DE" w:rsidRDefault="00CE08DE" w:rsidP="00CE08DE">
      <w:pPr>
        <w:spacing w:after="0" w:line="240" w:lineRule="auto"/>
        <w:rPr>
          <w:rFonts w:cs="Arial"/>
        </w:rPr>
      </w:pPr>
    </w:p>
    <w:p w:rsidR="009466C0" w:rsidRDefault="009466C0" w:rsidP="00CE08DE">
      <w:pPr>
        <w:pStyle w:val="ListParagraph"/>
        <w:numPr>
          <w:ilvl w:val="0"/>
          <w:numId w:val="31"/>
        </w:numPr>
        <w:spacing w:after="0" w:line="240" w:lineRule="auto"/>
        <w:rPr>
          <w:rFonts w:cs="Arial"/>
        </w:rPr>
      </w:pPr>
      <w:r w:rsidRPr="00CE08DE">
        <w:rPr>
          <w:rFonts w:cs="Arial"/>
        </w:rPr>
        <w:t xml:space="preserve">What would an accreditation process </w:t>
      </w:r>
      <w:r w:rsidR="00F22DCE" w:rsidRPr="00CE08DE">
        <w:rPr>
          <w:rFonts w:cs="Arial"/>
        </w:rPr>
        <w:t xml:space="preserve">for alternative review structures </w:t>
      </w:r>
      <w:r w:rsidRPr="00CE08DE">
        <w:rPr>
          <w:rFonts w:cs="Arial"/>
        </w:rPr>
        <w:t xml:space="preserve">need to include </w:t>
      </w:r>
      <w:r w:rsidR="00420E59" w:rsidRPr="00CE08DE">
        <w:rPr>
          <w:rFonts w:cs="Arial"/>
        </w:rPr>
        <w:t>to be</w:t>
      </w:r>
      <w:r w:rsidRPr="00CE08DE">
        <w:rPr>
          <w:rFonts w:cs="Arial"/>
        </w:rPr>
        <w:t xml:space="preserve"> credible?  </w:t>
      </w:r>
    </w:p>
    <w:p w:rsidR="00A75963" w:rsidRPr="00A75963" w:rsidRDefault="00A75963" w:rsidP="0037513D">
      <w:pPr>
        <w:pStyle w:val="ListParagraph"/>
        <w:rPr>
          <w:rFonts w:cs="Arial"/>
        </w:rPr>
      </w:pPr>
    </w:p>
    <w:p w:rsidR="009466C0" w:rsidRDefault="009466C0" w:rsidP="00CE08DE">
      <w:pPr>
        <w:pStyle w:val="ListParagraph"/>
        <w:numPr>
          <w:ilvl w:val="0"/>
          <w:numId w:val="31"/>
        </w:numPr>
        <w:spacing w:after="0" w:line="240" w:lineRule="auto"/>
        <w:rPr>
          <w:rFonts w:cs="Arial"/>
        </w:rPr>
      </w:pPr>
      <w:r w:rsidRPr="00CE08DE">
        <w:rPr>
          <w:rFonts w:cs="Arial"/>
        </w:rPr>
        <w:t>Are there any other suggestions (apart from accreditation) for ensuring good governance frameworks and qu</w:t>
      </w:r>
      <w:r w:rsidR="00420E59" w:rsidRPr="00CE08DE">
        <w:rPr>
          <w:rFonts w:cs="Arial"/>
        </w:rPr>
        <w:t xml:space="preserve">ality of review for </w:t>
      </w:r>
      <w:r w:rsidRPr="00CE08DE">
        <w:rPr>
          <w:rFonts w:cs="Arial"/>
        </w:rPr>
        <w:t>ethical review structures?</w:t>
      </w:r>
    </w:p>
    <w:p w:rsidR="00CE08DE" w:rsidRPr="00CE08DE" w:rsidRDefault="00CE08DE" w:rsidP="00CE08DE">
      <w:pPr>
        <w:spacing w:after="0" w:line="240" w:lineRule="auto"/>
        <w:rPr>
          <w:rFonts w:cs="Arial"/>
        </w:rPr>
      </w:pPr>
    </w:p>
    <w:p w:rsidR="00CE08DE" w:rsidRDefault="009466C0" w:rsidP="00CE08DE">
      <w:pPr>
        <w:pStyle w:val="ListParagraph"/>
        <w:numPr>
          <w:ilvl w:val="0"/>
          <w:numId w:val="31"/>
        </w:numPr>
        <w:spacing w:after="0" w:line="240" w:lineRule="auto"/>
        <w:rPr>
          <w:rFonts w:cs="Arial"/>
        </w:rPr>
      </w:pPr>
      <w:r w:rsidRPr="00CE08DE">
        <w:rPr>
          <w:rFonts w:cs="Arial"/>
        </w:rPr>
        <w:t>What is the indemnity status of alternative ethical review structures?</w:t>
      </w:r>
    </w:p>
    <w:p w:rsidR="00CE08DE" w:rsidRPr="00CE08DE" w:rsidRDefault="00CE08DE" w:rsidP="00CE08DE">
      <w:pPr>
        <w:spacing w:after="0" w:line="240" w:lineRule="auto"/>
        <w:rPr>
          <w:rFonts w:cs="Arial"/>
        </w:rPr>
      </w:pPr>
    </w:p>
    <w:p w:rsidR="00F22DCE" w:rsidRPr="00CE08DE" w:rsidRDefault="00F22DCE" w:rsidP="00CE08DE">
      <w:pPr>
        <w:pStyle w:val="ListParagraph"/>
        <w:numPr>
          <w:ilvl w:val="0"/>
          <w:numId w:val="31"/>
        </w:numPr>
        <w:spacing w:after="0" w:line="240" w:lineRule="auto"/>
        <w:rPr>
          <w:rFonts w:cs="Arial"/>
        </w:rPr>
      </w:pPr>
      <w:r w:rsidRPr="00CE08DE">
        <w:rPr>
          <w:rFonts w:cs="Arial"/>
        </w:rPr>
        <w:t>Is the indemnity status a barrier to seeking ethical review from alternative structures?</w:t>
      </w:r>
    </w:p>
    <w:p w:rsidR="00D0784A" w:rsidRDefault="00D0784A"/>
    <w:p w:rsidR="00BB2915" w:rsidRDefault="00BB2915">
      <w:pPr>
        <w:rPr>
          <w:rFonts w:asciiTheme="majorHAnsi" w:eastAsiaTheme="majorEastAsia" w:hAnsiTheme="majorHAnsi" w:cstheme="majorBidi"/>
          <w:b/>
          <w:bCs/>
          <w:color w:val="4F81BD" w:themeColor="accent1"/>
          <w:sz w:val="26"/>
          <w:szCs w:val="26"/>
        </w:rPr>
      </w:pPr>
      <w:r>
        <w:br w:type="page"/>
      </w:r>
    </w:p>
    <w:p w:rsidR="009466C0" w:rsidRDefault="009466C0" w:rsidP="00CE08DE">
      <w:pPr>
        <w:pStyle w:val="Heading2"/>
        <w:numPr>
          <w:ilvl w:val="0"/>
          <w:numId w:val="17"/>
        </w:numPr>
        <w:spacing w:before="0"/>
      </w:pPr>
      <w:bookmarkStart w:id="23" w:name="_Toc401587737"/>
      <w:r>
        <w:t>Peer review for scientific validity</w:t>
      </w:r>
      <w:bookmarkEnd w:id="23"/>
    </w:p>
    <w:p w:rsidR="00CE08DE" w:rsidRPr="000250C2" w:rsidRDefault="00CE08DE" w:rsidP="000250C2">
      <w:pPr>
        <w:tabs>
          <w:tab w:val="left" w:pos="6075"/>
        </w:tabs>
        <w:spacing w:after="0" w:line="240" w:lineRule="auto"/>
        <w:rPr>
          <w:rFonts w:cs="Arial"/>
        </w:rPr>
      </w:pPr>
    </w:p>
    <w:p w:rsidR="009466C0" w:rsidRPr="003B38AD" w:rsidRDefault="0037513D" w:rsidP="00CE08DE">
      <w:pPr>
        <w:pStyle w:val="Heading3"/>
        <w:spacing w:before="0"/>
      </w:pPr>
      <w:r>
        <w:t>4</w:t>
      </w:r>
      <w:r w:rsidR="009466C0">
        <w:t>.1</w:t>
      </w:r>
      <w:r w:rsidR="009466C0">
        <w:tab/>
      </w:r>
      <w:r w:rsidR="009466C0" w:rsidRPr="003B38AD">
        <w:t xml:space="preserve">Current ethics arrangements </w:t>
      </w:r>
    </w:p>
    <w:p w:rsidR="00CE08DE" w:rsidRDefault="00CE08DE" w:rsidP="00CE08DE">
      <w:pPr>
        <w:tabs>
          <w:tab w:val="left" w:pos="6075"/>
        </w:tabs>
        <w:spacing w:after="0" w:line="240" w:lineRule="auto"/>
        <w:rPr>
          <w:rFonts w:cs="Arial"/>
        </w:rPr>
      </w:pPr>
    </w:p>
    <w:p w:rsidR="009466C0" w:rsidRDefault="00F22DCE" w:rsidP="00CE08DE">
      <w:pPr>
        <w:tabs>
          <w:tab w:val="left" w:pos="6075"/>
        </w:tabs>
        <w:spacing w:after="0" w:line="240" w:lineRule="auto"/>
        <w:rPr>
          <w:rFonts w:cs="Arial"/>
        </w:rPr>
      </w:pPr>
      <w:r>
        <w:rPr>
          <w:rFonts w:cs="Arial"/>
        </w:rPr>
        <w:t>The s</w:t>
      </w:r>
      <w:r w:rsidR="009466C0" w:rsidRPr="00771E9F">
        <w:rPr>
          <w:rFonts w:cs="Arial"/>
        </w:rPr>
        <w:t>cientific validity</w:t>
      </w:r>
      <w:r>
        <w:rPr>
          <w:rStyle w:val="FootnoteReference"/>
          <w:rFonts w:cs="Arial"/>
        </w:rPr>
        <w:footnoteReference w:id="14"/>
      </w:r>
      <w:r w:rsidR="009466C0" w:rsidRPr="00771E9F">
        <w:rPr>
          <w:rFonts w:cs="Arial"/>
        </w:rPr>
        <w:t xml:space="preserve"> of a research project is one component of </w:t>
      </w:r>
      <w:r w:rsidR="00CE08DE">
        <w:rPr>
          <w:rFonts w:cs="Arial"/>
        </w:rPr>
        <w:t xml:space="preserve">ethically sound research. </w:t>
      </w:r>
      <w:r>
        <w:rPr>
          <w:rFonts w:cs="Arial"/>
        </w:rPr>
        <w:t>Good peer review processes serve to diminish</w:t>
      </w:r>
      <w:r w:rsidR="00CE08DE">
        <w:rPr>
          <w:rFonts w:cs="Arial"/>
        </w:rPr>
        <w:t xml:space="preserve"> risk but they also add value. </w:t>
      </w:r>
      <w:r w:rsidR="009466C0" w:rsidRPr="00771E9F">
        <w:rPr>
          <w:rFonts w:cs="Arial"/>
        </w:rPr>
        <w:t>Research with insufficient scientific validity will waste scarce resources, misuse the trust and commitment of participants, and may needlessly expose th</w:t>
      </w:r>
      <w:r w:rsidR="00CE08DE">
        <w:rPr>
          <w:rFonts w:cs="Arial"/>
        </w:rPr>
        <w:t xml:space="preserve">em to risk for little benefit. </w:t>
      </w:r>
      <w:r w:rsidR="009466C0">
        <w:rPr>
          <w:rFonts w:cs="Arial"/>
        </w:rPr>
        <w:t>It is primarily the researcher’s responsibility to ensure that proposed rese</w:t>
      </w:r>
      <w:r w:rsidR="00CE08DE">
        <w:rPr>
          <w:rFonts w:cs="Arial"/>
        </w:rPr>
        <w:t>arch is scientifically valid. T</w:t>
      </w:r>
      <w:r w:rsidR="009466C0">
        <w:rPr>
          <w:rFonts w:cs="Arial"/>
        </w:rPr>
        <w:t xml:space="preserve">here are a range of different mechanisms for obtaining appropriate peer review.  </w:t>
      </w:r>
    </w:p>
    <w:p w:rsidR="00CE08DE" w:rsidRPr="00771E9F" w:rsidRDefault="00CE08DE" w:rsidP="00CE08DE">
      <w:pPr>
        <w:tabs>
          <w:tab w:val="left" w:pos="6075"/>
        </w:tabs>
        <w:spacing w:after="0" w:line="240" w:lineRule="auto"/>
        <w:rPr>
          <w:rFonts w:cs="Arial"/>
        </w:rPr>
      </w:pPr>
    </w:p>
    <w:p w:rsidR="009466C0" w:rsidRPr="00771E9F" w:rsidRDefault="009466C0" w:rsidP="00CE08DE">
      <w:pPr>
        <w:tabs>
          <w:tab w:val="left" w:pos="6075"/>
        </w:tabs>
        <w:spacing w:after="0" w:line="240" w:lineRule="auto"/>
        <w:rPr>
          <w:rFonts w:cs="Arial"/>
        </w:rPr>
      </w:pPr>
      <w:r w:rsidRPr="00771E9F">
        <w:rPr>
          <w:rFonts w:cs="Arial"/>
        </w:rPr>
        <w:t>Where the research involves the use of a new medicine, approval is required under section</w:t>
      </w:r>
      <w:r w:rsidR="00CE08DE">
        <w:rPr>
          <w:rFonts w:cs="Arial"/>
        </w:rPr>
        <w:t xml:space="preserve"> 30 of the Medicines Act 1981. </w:t>
      </w:r>
      <w:r w:rsidRPr="00771E9F">
        <w:rPr>
          <w:rFonts w:cs="Arial"/>
        </w:rPr>
        <w:t xml:space="preserve">Scientific assessment of clinical trials that involve the introduction of nucleic acids, genetically manipulated micro-organisms, or viruses or cells into human subjects is undertaken by the HRC’s Gene </w:t>
      </w:r>
      <w:r w:rsidR="00CE08DE">
        <w:rPr>
          <w:rFonts w:cs="Arial"/>
        </w:rPr>
        <w:t xml:space="preserve">Technology Advisory Committee. </w:t>
      </w:r>
      <w:r w:rsidRPr="00771E9F">
        <w:rPr>
          <w:rFonts w:cs="Arial"/>
        </w:rPr>
        <w:t xml:space="preserve">For all other clinical trials involving a new medicine, scientific assessment is undertaken by the HRC’s Standing Committee on Therapeutic Trials. </w:t>
      </w:r>
    </w:p>
    <w:p w:rsidR="00CE08DE" w:rsidRDefault="00CE08DE" w:rsidP="00CE08DE">
      <w:pPr>
        <w:tabs>
          <w:tab w:val="left" w:pos="6075"/>
        </w:tabs>
        <w:spacing w:after="0" w:line="240" w:lineRule="auto"/>
        <w:rPr>
          <w:rFonts w:cs="Arial"/>
        </w:rPr>
      </w:pPr>
    </w:p>
    <w:p w:rsidR="009466C0" w:rsidRPr="00771E9F" w:rsidRDefault="009466C0" w:rsidP="00CE08DE">
      <w:pPr>
        <w:tabs>
          <w:tab w:val="left" w:pos="6075"/>
        </w:tabs>
        <w:spacing w:after="0" w:line="240" w:lineRule="auto"/>
        <w:rPr>
          <w:rFonts w:cs="Arial"/>
        </w:rPr>
      </w:pPr>
      <w:r>
        <w:rPr>
          <w:rFonts w:cs="Arial"/>
        </w:rPr>
        <w:t xml:space="preserve">For research that requires </w:t>
      </w:r>
      <w:r w:rsidRPr="00771E9F">
        <w:rPr>
          <w:rFonts w:cs="Arial"/>
        </w:rPr>
        <w:t>HDEC</w:t>
      </w:r>
      <w:r>
        <w:rPr>
          <w:rFonts w:cs="Arial"/>
        </w:rPr>
        <w:t xml:space="preserve"> review, peer review must be completed </w:t>
      </w:r>
      <w:r w:rsidR="00CE08DE">
        <w:rPr>
          <w:rFonts w:cs="Arial"/>
        </w:rPr>
        <w:t xml:space="preserve">before an application is made. </w:t>
      </w:r>
      <w:r>
        <w:rPr>
          <w:rFonts w:cs="Arial"/>
        </w:rPr>
        <w:t>HDEC</w:t>
      </w:r>
      <w:r w:rsidRPr="00771E9F">
        <w:rPr>
          <w:rFonts w:cs="Arial"/>
        </w:rPr>
        <w:t>s are responsible for checking that appropriate pee</w:t>
      </w:r>
      <w:r w:rsidR="00CE08DE">
        <w:rPr>
          <w:rFonts w:cs="Arial"/>
        </w:rPr>
        <w:t xml:space="preserve">r review has been carried out. </w:t>
      </w:r>
      <w:r>
        <w:rPr>
          <w:rFonts w:cs="Arial"/>
        </w:rPr>
        <w:t>An HDEC m</w:t>
      </w:r>
      <w:r w:rsidRPr="00771E9F">
        <w:rPr>
          <w:rFonts w:cs="Arial"/>
        </w:rPr>
        <w:t xml:space="preserve">ay suggest additional peer review be carried out where </w:t>
      </w:r>
      <w:r>
        <w:rPr>
          <w:rFonts w:cs="Arial"/>
        </w:rPr>
        <w:t>it</w:t>
      </w:r>
      <w:r w:rsidRPr="00771E9F">
        <w:rPr>
          <w:rFonts w:cs="Arial"/>
        </w:rPr>
        <w:t xml:space="preserve"> considers that the peer review for a study has not been sufficiently robust </w:t>
      </w:r>
      <w:r w:rsidR="00E16437">
        <w:rPr>
          <w:rFonts w:cs="Arial"/>
        </w:rPr>
        <w:t>(</w:t>
      </w:r>
      <w:proofErr w:type="spellStart"/>
      <w:r w:rsidR="00E16437">
        <w:rPr>
          <w:rFonts w:cs="Arial"/>
        </w:rPr>
        <w:t>eg</w:t>
      </w:r>
      <w:proofErr w:type="spellEnd"/>
      <w:r w:rsidR="00E16437">
        <w:rPr>
          <w:rFonts w:cs="Arial"/>
        </w:rPr>
        <w:t xml:space="preserve">, where the reviewer has a conflict of interest) </w:t>
      </w:r>
      <w:r w:rsidRPr="00771E9F">
        <w:rPr>
          <w:rFonts w:cs="Arial"/>
        </w:rPr>
        <w:t xml:space="preserve">or that the study may not be scientifically valid.  </w:t>
      </w:r>
    </w:p>
    <w:p w:rsidR="00CE08DE" w:rsidRPr="000250C2" w:rsidRDefault="00CE08DE" w:rsidP="000250C2">
      <w:pPr>
        <w:tabs>
          <w:tab w:val="left" w:pos="6075"/>
        </w:tabs>
        <w:spacing w:after="0" w:line="240" w:lineRule="auto"/>
        <w:rPr>
          <w:rFonts w:cs="Arial"/>
        </w:rPr>
      </w:pPr>
    </w:p>
    <w:p w:rsidR="009466C0" w:rsidRPr="004E2D85" w:rsidRDefault="0037513D" w:rsidP="00CE08DE">
      <w:pPr>
        <w:pStyle w:val="Heading3"/>
        <w:spacing w:before="0"/>
      </w:pPr>
      <w:r>
        <w:t>4</w:t>
      </w:r>
      <w:r w:rsidR="009466C0">
        <w:t>.2</w:t>
      </w:r>
      <w:r w:rsidR="009466C0">
        <w:tab/>
        <w:t>Issues</w:t>
      </w:r>
    </w:p>
    <w:p w:rsidR="00CE08DE" w:rsidRDefault="00CE08DE" w:rsidP="00CE08DE">
      <w:pPr>
        <w:tabs>
          <w:tab w:val="left" w:pos="6075"/>
        </w:tabs>
        <w:spacing w:after="0" w:line="240" w:lineRule="auto"/>
        <w:rPr>
          <w:rFonts w:cs="Arial"/>
        </w:rPr>
      </w:pPr>
    </w:p>
    <w:p w:rsidR="009466C0" w:rsidRDefault="009466C0" w:rsidP="00CE08DE">
      <w:pPr>
        <w:tabs>
          <w:tab w:val="left" w:pos="6075"/>
        </w:tabs>
        <w:spacing w:after="0" w:line="240" w:lineRule="auto"/>
        <w:rPr>
          <w:rFonts w:cs="Arial"/>
        </w:rPr>
      </w:pPr>
      <w:r>
        <w:rPr>
          <w:rFonts w:cs="Arial"/>
        </w:rPr>
        <w:t>There are three main issues associated with scientific peer review:</w:t>
      </w:r>
    </w:p>
    <w:p w:rsidR="00CE08DE" w:rsidRDefault="00CE08DE" w:rsidP="00CE08DE">
      <w:pPr>
        <w:tabs>
          <w:tab w:val="left" w:pos="6075"/>
        </w:tabs>
        <w:spacing w:after="0" w:line="240" w:lineRule="auto"/>
        <w:rPr>
          <w:rFonts w:cs="Arial"/>
        </w:rPr>
      </w:pPr>
    </w:p>
    <w:p w:rsidR="009466C0" w:rsidRDefault="009466C0" w:rsidP="00CE08DE">
      <w:pPr>
        <w:pStyle w:val="ListParagraph"/>
        <w:numPr>
          <w:ilvl w:val="0"/>
          <w:numId w:val="22"/>
        </w:numPr>
        <w:tabs>
          <w:tab w:val="left" w:pos="6075"/>
        </w:tabs>
        <w:spacing w:after="0" w:line="240" w:lineRule="auto"/>
        <w:ind w:left="714" w:hanging="357"/>
        <w:contextualSpacing w:val="0"/>
        <w:rPr>
          <w:rFonts w:cs="Arial"/>
        </w:rPr>
      </w:pPr>
      <w:r>
        <w:rPr>
          <w:rFonts w:cs="Arial"/>
        </w:rPr>
        <w:t xml:space="preserve">accessing </w:t>
      </w:r>
      <w:r w:rsidRPr="00771E9F">
        <w:rPr>
          <w:rFonts w:cs="Arial"/>
        </w:rPr>
        <w:t xml:space="preserve">peer review </w:t>
      </w:r>
      <w:r>
        <w:rPr>
          <w:rFonts w:cs="Arial"/>
        </w:rPr>
        <w:t>– it can be difficult for researchers to access appropriate peer review; this is particularly the case for researchers from smaller organisations with no internal peer review capacity</w:t>
      </w:r>
    </w:p>
    <w:p w:rsidR="00CE08DE" w:rsidRDefault="00CE08DE" w:rsidP="00CE08DE">
      <w:pPr>
        <w:pStyle w:val="ListParagraph"/>
        <w:tabs>
          <w:tab w:val="left" w:pos="6075"/>
        </w:tabs>
        <w:spacing w:after="0" w:line="240" w:lineRule="auto"/>
        <w:ind w:left="714"/>
        <w:contextualSpacing w:val="0"/>
        <w:rPr>
          <w:rFonts w:cs="Arial"/>
        </w:rPr>
      </w:pPr>
    </w:p>
    <w:p w:rsidR="009466C0" w:rsidRDefault="009466C0" w:rsidP="00CE08DE">
      <w:pPr>
        <w:pStyle w:val="ListParagraph"/>
        <w:numPr>
          <w:ilvl w:val="0"/>
          <w:numId w:val="22"/>
        </w:numPr>
        <w:tabs>
          <w:tab w:val="left" w:pos="6075"/>
        </w:tabs>
        <w:spacing w:after="0" w:line="240" w:lineRule="auto"/>
        <w:ind w:left="714" w:hanging="357"/>
        <w:contextualSpacing w:val="0"/>
        <w:rPr>
          <w:rFonts w:cs="Arial"/>
        </w:rPr>
      </w:pPr>
      <w:r w:rsidRPr="00A66F06">
        <w:rPr>
          <w:rFonts w:cs="Arial"/>
        </w:rPr>
        <w:t xml:space="preserve">adequacy of guidance – </w:t>
      </w:r>
      <w:r>
        <w:rPr>
          <w:rFonts w:cs="Arial"/>
        </w:rPr>
        <w:t>the type of peer review process must be fit-for-purpose but the current guidance does not set out what level of review is required for different types of research</w:t>
      </w:r>
    </w:p>
    <w:p w:rsidR="00CE08DE" w:rsidRPr="00CE08DE" w:rsidRDefault="00CE08DE" w:rsidP="00CE08DE">
      <w:pPr>
        <w:tabs>
          <w:tab w:val="left" w:pos="6075"/>
        </w:tabs>
        <w:spacing w:after="0" w:line="240" w:lineRule="auto"/>
        <w:rPr>
          <w:rFonts w:cs="Arial"/>
        </w:rPr>
      </w:pPr>
    </w:p>
    <w:p w:rsidR="009466C0" w:rsidRDefault="009466C0" w:rsidP="00CE08DE">
      <w:pPr>
        <w:pStyle w:val="ListParagraph"/>
        <w:numPr>
          <w:ilvl w:val="0"/>
          <w:numId w:val="22"/>
        </w:numPr>
        <w:tabs>
          <w:tab w:val="left" w:pos="6075"/>
        </w:tabs>
        <w:spacing w:after="0" w:line="240" w:lineRule="auto"/>
        <w:ind w:left="714" w:hanging="357"/>
        <w:contextualSpacing w:val="0"/>
        <w:rPr>
          <w:rFonts w:cs="Arial"/>
        </w:rPr>
      </w:pPr>
      <w:proofErr w:type="gramStart"/>
      <w:r w:rsidRPr="005B7E1B">
        <w:rPr>
          <w:rFonts w:cs="Arial"/>
        </w:rPr>
        <w:t>limitations</w:t>
      </w:r>
      <w:proofErr w:type="gramEnd"/>
      <w:r w:rsidRPr="005B7E1B">
        <w:rPr>
          <w:rFonts w:cs="Arial"/>
        </w:rPr>
        <w:t xml:space="preserve"> of scientific peer review – as NEAC’s guidelines note, research </w:t>
      </w:r>
      <w:r>
        <w:rPr>
          <w:rFonts w:cs="Arial"/>
        </w:rPr>
        <w:t>may have a satisfactory assessment of scientific validity but still have ethical concerns because of how the research is to be operationalised</w:t>
      </w:r>
      <w:r w:rsidR="00E52C92">
        <w:rPr>
          <w:rFonts w:cs="Arial"/>
        </w:rPr>
        <w:t>; an ethics committee may not have the expertise required to identify all the ethical concerns associated with particular study designs and their execution.</w:t>
      </w:r>
      <w:r w:rsidR="00AB5B53">
        <w:rPr>
          <w:rFonts w:cs="Arial"/>
        </w:rPr>
        <w:br/>
      </w:r>
    </w:p>
    <w:p w:rsidR="000250C2" w:rsidRDefault="000250C2">
      <w:pPr>
        <w:rPr>
          <w:rFonts w:asciiTheme="majorHAnsi" w:eastAsiaTheme="majorEastAsia" w:hAnsiTheme="majorHAnsi" w:cstheme="majorBidi"/>
          <w:b/>
          <w:bCs/>
          <w:color w:val="4F81BD" w:themeColor="accent1"/>
        </w:rPr>
      </w:pPr>
      <w:r>
        <w:br w:type="page"/>
      </w:r>
    </w:p>
    <w:p w:rsidR="009466C0" w:rsidRDefault="0037513D" w:rsidP="00CE08DE">
      <w:pPr>
        <w:pStyle w:val="Heading3"/>
        <w:spacing w:before="0"/>
        <w:rPr>
          <w:szCs w:val="24"/>
        </w:rPr>
      </w:pPr>
      <w:r>
        <w:t>4</w:t>
      </w:r>
      <w:r w:rsidR="009466C0">
        <w:t>.3</w:t>
      </w:r>
      <w:r w:rsidR="009466C0">
        <w:tab/>
      </w:r>
      <w:r w:rsidR="009466C0" w:rsidRPr="004E2D85">
        <w:t xml:space="preserve">Current responses </w:t>
      </w:r>
    </w:p>
    <w:p w:rsidR="00CE08DE" w:rsidRPr="000250C2" w:rsidRDefault="00CE08DE" w:rsidP="000250C2">
      <w:pPr>
        <w:tabs>
          <w:tab w:val="left" w:pos="6075"/>
        </w:tabs>
        <w:spacing w:after="0" w:line="240" w:lineRule="auto"/>
        <w:rPr>
          <w:rFonts w:cs="Arial"/>
        </w:rPr>
      </w:pPr>
    </w:p>
    <w:p w:rsidR="009466C0" w:rsidRPr="001C0122" w:rsidRDefault="009466C0" w:rsidP="00CE08DE">
      <w:pPr>
        <w:pStyle w:val="Heading3"/>
        <w:spacing w:before="0" w:line="240" w:lineRule="auto"/>
      </w:pPr>
      <w:r w:rsidRPr="001C0122">
        <w:t>Accessing scientific peer review</w:t>
      </w:r>
    </w:p>
    <w:p w:rsidR="00CE08DE" w:rsidRDefault="00CE08DE" w:rsidP="00CE08DE">
      <w:pPr>
        <w:tabs>
          <w:tab w:val="left" w:pos="6075"/>
        </w:tabs>
        <w:spacing w:after="0" w:line="240" w:lineRule="auto"/>
        <w:rPr>
          <w:rFonts w:cs="Arial"/>
        </w:rPr>
      </w:pPr>
    </w:p>
    <w:p w:rsidR="009466C0" w:rsidRDefault="009466C0" w:rsidP="00CE08DE">
      <w:pPr>
        <w:tabs>
          <w:tab w:val="left" w:pos="6075"/>
        </w:tabs>
        <w:spacing w:after="0" w:line="240" w:lineRule="auto"/>
        <w:rPr>
          <w:rFonts w:cs="Arial"/>
        </w:rPr>
      </w:pPr>
      <w:r>
        <w:rPr>
          <w:rFonts w:cs="Arial"/>
        </w:rPr>
        <w:t xml:space="preserve">Different organisations have developed different processes for obtaining peer review. </w:t>
      </w:r>
    </w:p>
    <w:p w:rsidR="00CE08DE" w:rsidRDefault="00CE08DE" w:rsidP="00CE08DE">
      <w:pPr>
        <w:tabs>
          <w:tab w:val="left" w:pos="6075"/>
        </w:tabs>
        <w:spacing w:after="0" w:line="240" w:lineRule="auto"/>
        <w:rPr>
          <w:rFonts w:cs="Arial"/>
        </w:rPr>
      </w:pPr>
    </w:p>
    <w:p w:rsidR="009466C0" w:rsidRDefault="009466C0" w:rsidP="00CE08DE">
      <w:pPr>
        <w:pStyle w:val="ListParagraph"/>
        <w:numPr>
          <w:ilvl w:val="0"/>
          <w:numId w:val="19"/>
        </w:numPr>
        <w:tabs>
          <w:tab w:val="clear" w:pos="-54"/>
        </w:tabs>
        <w:spacing w:after="0" w:line="240" w:lineRule="auto"/>
        <w:ind w:left="744" w:hanging="518"/>
        <w:contextualSpacing w:val="0"/>
        <w:rPr>
          <w:rFonts w:cs="Arial"/>
        </w:rPr>
      </w:pPr>
      <w:r w:rsidRPr="0004225B">
        <w:rPr>
          <w:rFonts w:cs="Arial"/>
        </w:rPr>
        <w:t xml:space="preserve">Some institutional ethics committees </w:t>
      </w:r>
      <w:r>
        <w:rPr>
          <w:rFonts w:cs="Arial"/>
        </w:rPr>
        <w:t xml:space="preserve">have members who are able to undertake scientific peer review, for example, the </w:t>
      </w:r>
      <w:r w:rsidRPr="00490FD4">
        <w:rPr>
          <w:rFonts w:cs="Arial"/>
          <w:lang w:eastAsia="en-NZ"/>
        </w:rPr>
        <w:t xml:space="preserve">University </w:t>
      </w:r>
      <w:r>
        <w:rPr>
          <w:rFonts w:cs="Arial"/>
          <w:lang w:eastAsia="en-NZ"/>
        </w:rPr>
        <w:t xml:space="preserve">of </w:t>
      </w:r>
      <w:proofErr w:type="spellStart"/>
      <w:r>
        <w:rPr>
          <w:rFonts w:cs="Arial"/>
          <w:lang w:eastAsia="en-NZ"/>
        </w:rPr>
        <w:t>Otago</w:t>
      </w:r>
      <w:proofErr w:type="spellEnd"/>
      <w:r>
        <w:rPr>
          <w:rFonts w:cs="Arial"/>
          <w:lang w:eastAsia="en-NZ"/>
        </w:rPr>
        <w:t xml:space="preserve"> </w:t>
      </w:r>
      <w:r w:rsidRPr="00490FD4">
        <w:rPr>
          <w:rFonts w:cs="Arial"/>
          <w:lang w:eastAsia="en-NZ"/>
        </w:rPr>
        <w:t xml:space="preserve">Human Ethics Committee (Health) provides peer review for University of </w:t>
      </w:r>
      <w:proofErr w:type="spellStart"/>
      <w:r w:rsidRPr="00490FD4">
        <w:rPr>
          <w:rFonts w:cs="Arial"/>
          <w:lang w:eastAsia="en-NZ"/>
        </w:rPr>
        <w:t>Otago</w:t>
      </w:r>
      <w:proofErr w:type="spellEnd"/>
      <w:r w:rsidRPr="00490FD4">
        <w:rPr>
          <w:rFonts w:cs="Arial"/>
          <w:lang w:eastAsia="en-NZ"/>
        </w:rPr>
        <w:t xml:space="preserve"> applications</w:t>
      </w:r>
      <w:r>
        <w:rPr>
          <w:rFonts w:cs="Arial"/>
        </w:rPr>
        <w:t xml:space="preserve">.  </w:t>
      </w:r>
    </w:p>
    <w:p w:rsidR="00CE08DE" w:rsidRDefault="00CE08DE" w:rsidP="00CE08DE">
      <w:pPr>
        <w:pStyle w:val="ListParagraph"/>
        <w:spacing w:after="0" w:line="240" w:lineRule="auto"/>
        <w:ind w:left="744"/>
        <w:contextualSpacing w:val="0"/>
        <w:rPr>
          <w:rFonts w:cs="Arial"/>
        </w:rPr>
      </w:pPr>
    </w:p>
    <w:p w:rsidR="009466C0" w:rsidRDefault="009466C0" w:rsidP="00CE08DE">
      <w:pPr>
        <w:pStyle w:val="ListParagraph"/>
        <w:numPr>
          <w:ilvl w:val="0"/>
          <w:numId w:val="19"/>
        </w:numPr>
        <w:tabs>
          <w:tab w:val="clear" w:pos="-54"/>
        </w:tabs>
        <w:spacing w:after="0" w:line="240" w:lineRule="auto"/>
        <w:ind w:left="744" w:hanging="518"/>
        <w:contextualSpacing w:val="0"/>
        <w:rPr>
          <w:rFonts w:cs="Arial"/>
        </w:rPr>
      </w:pPr>
      <w:r w:rsidRPr="00B2432B">
        <w:rPr>
          <w:rFonts w:cs="Arial"/>
        </w:rPr>
        <w:t xml:space="preserve">Health Research South </w:t>
      </w:r>
      <w:r>
        <w:rPr>
          <w:rFonts w:cs="Arial"/>
        </w:rPr>
        <w:t>(research partnership between the Dunedin School of Medicine and Southern DHB) has developed its own peer review process for all research projects involving human participants – guidelines set out the minimum requirements for peer review processes in individual departments of the Dunedin School of Medicine</w:t>
      </w:r>
      <w:r w:rsidRPr="00B2432B">
        <w:rPr>
          <w:rFonts w:cs="Arial"/>
        </w:rPr>
        <w:t>.</w:t>
      </w:r>
    </w:p>
    <w:p w:rsidR="00CE08DE" w:rsidRPr="00CE08DE" w:rsidRDefault="00CE08DE" w:rsidP="00CE08DE">
      <w:pPr>
        <w:spacing w:after="0" w:line="240" w:lineRule="auto"/>
        <w:rPr>
          <w:rFonts w:cs="Arial"/>
        </w:rPr>
      </w:pPr>
    </w:p>
    <w:p w:rsidR="009466C0" w:rsidRDefault="009466C0" w:rsidP="00CE08DE">
      <w:pPr>
        <w:pStyle w:val="ListParagraph"/>
        <w:numPr>
          <w:ilvl w:val="0"/>
          <w:numId w:val="19"/>
        </w:numPr>
        <w:tabs>
          <w:tab w:val="clear" w:pos="-54"/>
        </w:tabs>
        <w:spacing w:after="0" w:line="240" w:lineRule="auto"/>
        <w:ind w:left="744" w:hanging="518"/>
        <w:contextualSpacing w:val="0"/>
        <w:rPr>
          <w:rFonts w:cs="Arial"/>
        </w:rPr>
      </w:pPr>
      <w:r>
        <w:rPr>
          <w:rFonts w:cs="Arial"/>
        </w:rPr>
        <w:t xml:space="preserve">The </w:t>
      </w:r>
      <w:r w:rsidRPr="0004225B">
        <w:rPr>
          <w:rFonts w:cs="Arial"/>
        </w:rPr>
        <w:t xml:space="preserve">scientific quality of </w:t>
      </w:r>
      <w:r w:rsidR="00CE08DE">
        <w:rPr>
          <w:rFonts w:cs="Arial"/>
        </w:rPr>
        <w:t xml:space="preserve">Auckland </w:t>
      </w:r>
      <w:r w:rsidR="006965F5">
        <w:rPr>
          <w:rFonts w:cs="Arial"/>
        </w:rPr>
        <w:t>U</w:t>
      </w:r>
      <w:r w:rsidR="00CE08DE">
        <w:rPr>
          <w:rFonts w:cs="Arial"/>
        </w:rPr>
        <w:t xml:space="preserve">niversity of Technology </w:t>
      </w:r>
      <w:r>
        <w:rPr>
          <w:rFonts w:cs="Arial"/>
        </w:rPr>
        <w:t xml:space="preserve">student </w:t>
      </w:r>
      <w:r w:rsidRPr="0004225B">
        <w:rPr>
          <w:rFonts w:cs="Arial"/>
        </w:rPr>
        <w:t xml:space="preserve">research proposals </w:t>
      </w:r>
      <w:r>
        <w:rPr>
          <w:rFonts w:cs="Arial"/>
        </w:rPr>
        <w:t xml:space="preserve">is </w:t>
      </w:r>
      <w:r w:rsidRPr="0004225B">
        <w:rPr>
          <w:rFonts w:cs="Arial"/>
        </w:rPr>
        <w:t>assessed by the relevant study board when students are enrolled in the programme.</w:t>
      </w:r>
    </w:p>
    <w:p w:rsidR="00CE08DE" w:rsidRPr="00CE08DE" w:rsidRDefault="00CE08DE" w:rsidP="00CE08DE">
      <w:pPr>
        <w:spacing w:after="0" w:line="240" w:lineRule="auto"/>
        <w:rPr>
          <w:rFonts w:cs="Arial"/>
        </w:rPr>
      </w:pPr>
    </w:p>
    <w:p w:rsidR="009466C0" w:rsidRPr="00BC19C7" w:rsidRDefault="008034F3" w:rsidP="00CE08DE">
      <w:pPr>
        <w:pStyle w:val="ListParagraph"/>
        <w:numPr>
          <w:ilvl w:val="0"/>
          <w:numId w:val="19"/>
        </w:numPr>
        <w:tabs>
          <w:tab w:val="clear" w:pos="-54"/>
        </w:tabs>
        <w:spacing w:after="0" w:line="240" w:lineRule="auto"/>
        <w:ind w:left="744" w:hanging="518"/>
        <w:contextualSpacing w:val="0"/>
        <w:rPr>
          <w:rFonts w:cs="Arial"/>
        </w:rPr>
      </w:pPr>
      <w:r>
        <w:rPr>
          <w:rFonts w:cs="Arial"/>
        </w:rPr>
        <w:t xml:space="preserve">In the </w:t>
      </w:r>
      <w:r w:rsidR="009466C0" w:rsidRPr="00BC19C7">
        <w:rPr>
          <w:rFonts w:cs="Arial"/>
        </w:rPr>
        <w:t>Health Innovation Hub</w:t>
      </w:r>
      <w:r w:rsidR="002031BD">
        <w:rPr>
          <w:rFonts w:cs="Arial"/>
        </w:rPr>
        <w:t>’s</w:t>
      </w:r>
      <w:r w:rsidR="009466C0" w:rsidRPr="00BC19C7">
        <w:rPr>
          <w:rFonts w:cs="Arial"/>
        </w:rPr>
        <w:t xml:space="preserve"> process of review</w:t>
      </w:r>
      <w:r>
        <w:rPr>
          <w:rFonts w:cs="Arial"/>
        </w:rPr>
        <w:t xml:space="preserve">, </w:t>
      </w:r>
      <w:r w:rsidR="009466C0">
        <w:rPr>
          <w:rFonts w:cs="Arial"/>
        </w:rPr>
        <w:t xml:space="preserve">advice on innovation and device trials is provided by </w:t>
      </w:r>
      <w:r w:rsidR="009466C0" w:rsidRPr="00BC19C7">
        <w:rPr>
          <w:rFonts w:cs="Arial"/>
        </w:rPr>
        <w:t>a reference group made up of clinicians and experts.</w:t>
      </w:r>
    </w:p>
    <w:p w:rsidR="00CE08DE" w:rsidRPr="000250C2" w:rsidRDefault="00CE08DE" w:rsidP="000250C2">
      <w:pPr>
        <w:spacing w:after="0" w:line="240" w:lineRule="auto"/>
        <w:rPr>
          <w:rFonts w:cs="Arial"/>
        </w:rPr>
      </w:pPr>
    </w:p>
    <w:p w:rsidR="009466C0" w:rsidRPr="001C0122" w:rsidRDefault="009466C0" w:rsidP="00CE08DE">
      <w:pPr>
        <w:pStyle w:val="Heading3"/>
        <w:spacing w:before="0" w:line="240" w:lineRule="auto"/>
      </w:pPr>
      <w:r w:rsidRPr="001C0122">
        <w:t>Guidance</w:t>
      </w:r>
    </w:p>
    <w:p w:rsidR="00CE08DE" w:rsidRDefault="00CE08DE" w:rsidP="00CE08DE">
      <w:pPr>
        <w:spacing w:after="0" w:line="240" w:lineRule="auto"/>
        <w:rPr>
          <w:rFonts w:cs="Arial"/>
        </w:rPr>
      </w:pPr>
    </w:p>
    <w:p w:rsidR="009466C0" w:rsidRDefault="009466C0" w:rsidP="00CE08DE">
      <w:pPr>
        <w:spacing w:after="0" w:line="240" w:lineRule="auto"/>
        <w:rPr>
          <w:rFonts w:cs="Arial"/>
        </w:rPr>
      </w:pPr>
      <w:r w:rsidRPr="00771E9F">
        <w:rPr>
          <w:rFonts w:cs="Arial"/>
        </w:rPr>
        <w:t xml:space="preserve">NEAC’s </w:t>
      </w:r>
      <w:r w:rsidRPr="00771E9F">
        <w:rPr>
          <w:rFonts w:cs="Arial"/>
          <w:i/>
        </w:rPr>
        <w:t>Ethical Guidelines for Intervention Stu</w:t>
      </w:r>
      <w:r w:rsidRPr="008034F3">
        <w:rPr>
          <w:rFonts w:cs="Arial"/>
          <w:i/>
        </w:rPr>
        <w:t>dies</w:t>
      </w:r>
      <w:r w:rsidRPr="00771E9F">
        <w:rPr>
          <w:rFonts w:cs="Arial"/>
        </w:rPr>
        <w:t xml:space="preserve"> and </w:t>
      </w:r>
      <w:r w:rsidRPr="00771E9F">
        <w:rPr>
          <w:rFonts w:cs="Arial"/>
          <w:i/>
        </w:rPr>
        <w:t>Ethical Guidelines for Observational Studies</w:t>
      </w:r>
      <w:r w:rsidRPr="00771E9F">
        <w:rPr>
          <w:rFonts w:cs="Arial"/>
        </w:rPr>
        <w:t xml:space="preserve"> include guidance on features of robust peer review for assessing the scientific validity of research.  </w:t>
      </w:r>
    </w:p>
    <w:p w:rsidR="00CE08DE" w:rsidRDefault="00CE08DE" w:rsidP="00CE08DE">
      <w:pPr>
        <w:spacing w:after="0" w:line="240" w:lineRule="auto"/>
        <w:rPr>
          <w:rFonts w:cs="Arial"/>
        </w:rPr>
      </w:pPr>
    </w:p>
    <w:p w:rsidR="009466C0" w:rsidRPr="00771E9F" w:rsidRDefault="009466C0" w:rsidP="00CE08DE">
      <w:pPr>
        <w:tabs>
          <w:tab w:val="left" w:pos="6075"/>
        </w:tabs>
        <w:spacing w:after="0" w:line="240" w:lineRule="auto"/>
        <w:rPr>
          <w:rFonts w:cs="Arial"/>
        </w:rPr>
      </w:pPr>
      <w:r w:rsidRPr="00771E9F">
        <w:rPr>
          <w:rFonts w:cs="Arial"/>
        </w:rPr>
        <w:t>The scientific peer review template on the HDEC website provides guidance for researchers who are submitting</w:t>
      </w:r>
      <w:r w:rsidR="00CE08DE">
        <w:rPr>
          <w:rFonts w:cs="Arial"/>
        </w:rPr>
        <w:t xml:space="preserve"> applications for HDEC review. </w:t>
      </w:r>
      <w:r w:rsidRPr="00771E9F">
        <w:rPr>
          <w:rFonts w:cs="Arial"/>
        </w:rPr>
        <w:t xml:space="preserve">This document draws on the guidance in NEAC’s ethical guidelines, with the </w:t>
      </w:r>
      <w:r>
        <w:rPr>
          <w:rFonts w:cs="Arial"/>
        </w:rPr>
        <w:t xml:space="preserve">peer review </w:t>
      </w:r>
      <w:r w:rsidRPr="00771E9F">
        <w:rPr>
          <w:rFonts w:cs="Arial"/>
        </w:rPr>
        <w:t>template including guideline prompts under three areas of focus: the relative merit of the research, design and methods</w:t>
      </w:r>
      <w:r>
        <w:rPr>
          <w:rFonts w:cs="Arial"/>
        </w:rPr>
        <w:t>,</w:t>
      </w:r>
      <w:r w:rsidRPr="00771E9F">
        <w:rPr>
          <w:rFonts w:cs="Arial"/>
        </w:rPr>
        <w:t xml:space="preserve"> and feasibility of the research.  </w:t>
      </w:r>
    </w:p>
    <w:p w:rsidR="00CE08DE" w:rsidRPr="000250C2" w:rsidRDefault="00CE08DE" w:rsidP="000250C2">
      <w:pPr>
        <w:spacing w:after="0" w:line="240" w:lineRule="auto"/>
        <w:rPr>
          <w:rFonts w:cs="Arial"/>
        </w:rPr>
      </w:pPr>
    </w:p>
    <w:p w:rsidR="009466C0" w:rsidRPr="00BF516A" w:rsidRDefault="0037513D" w:rsidP="00CE08DE">
      <w:pPr>
        <w:pStyle w:val="Heading3"/>
        <w:spacing w:before="0"/>
      </w:pPr>
      <w:r>
        <w:t>4</w:t>
      </w:r>
      <w:r w:rsidR="009466C0">
        <w:t>.4</w:t>
      </w:r>
      <w:r w:rsidR="009466C0">
        <w:tab/>
      </w:r>
      <w:r w:rsidR="009466C0" w:rsidRPr="004E2D85">
        <w:t xml:space="preserve">Other possible responses </w:t>
      </w:r>
    </w:p>
    <w:p w:rsidR="00CE08DE" w:rsidRPr="000250C2" w:rsidRDefault="00CE08DE" w:rsidP="000250C2">
      <w:pPr>
        <w:spacing w:after="0" w:line="240" w:lineRule="auto"/>
        <w:rPr>
          <w:rFonts w:cs="Arial"/>
        </w:rPr>
      </w:pPr>
    </w:p>
    <w:p w:rsidR="009466C0" w:rsidRPr="001C0122" w:rsidRDefault="009466C0" w:rsidP="00CE08DE">
      <w:pPr>
        <w:pStyle w:val="Heading3"/>
        <w:spacing w:before="0" w:line="240" w:lineRule="auto"/>
      </w:pPr>
      <w:r w:rsidRPr="001C0122">
        <w:t>Accessing scientific peer review</w:t>
      </w:r>
    </w:p>
    <w:p w:rsidR="00CE08DE" w:rsidRDefault="00CE08DE" w:rsidP="00CE08DE">
      <w:pPr>
        <w:tabs>
          <w:tab w:val="left" w:pos="6075"/>
        </w:tabs>
        <w:spacing w:after="0" w:line="240" w:lineRule="auto"/>
        <w:rPr>
          <w:rFonts w:cs="Arial"/>
        </w:rPr>
      </w:pPr>
    </w:p>
    <w:p w:rsidR="009466C0" w:rsidRDefault="009466C0" w:rsidP="00CE08DE">
      <w:pPr>
        <w:tabs>
          <w:tab w:val="left" w:pos="6075"/>
        </w:tabs>
        <w:spacing w:after="0" w:line="240" w:lineRule="auto"/>
        <w:rPr>
          <w:rFonts w:cs="Arial"/>
        </w:rPr>
      </w:pPr>
      <w:r>
        <w:rPr>
          <w:rFonts w:cs="Arial"/>
        </w:rPr>
        <w:t>Some stakeholders have suggested that t</w:t>
      </w:r>
      <w:r w:rsidRPr="005B7E1B">
        <w:rPr>
          <w:rFonts w:cs="Arial"/>
        </w:rPr>
        <w:t xml:space="preserve">he peer review process for journal articles </w:t>
      </w:r>
      <w:r>
        <w:rPr>
          <w:rFonts w:cs="Arial"/>
        </w:rPr>
        <w:t xml:space="preserve">is </w:t>
      </w:r>
      <w:r w:rsidRPr="005B7E1B">
        <w:rPr>
          <w:rFonts w:cs="Arial"/>
        </w:rPr>
        <w:t xml:space="preserve">a good model – it is a streamlined process, enables access to a wide range of peer reviewers (including internationally) and is transparent.  </w:t>
      </w:r>
    </w:p>
    <w:p w:rsidR="00CE08DE" w:rsidRPr="000250C2" w:rsidRDefault="00CE08DE" w:rsidP="000250C2">
      <w:pPr>
        <w:spacing w:after="0" w:line="240" w:lineRule="auto"/>
        <w:rPr>
          <w:rFonts w:cs="Arial"/>
        </w:rPr>
      </w:pPr>
    </w:p>
    <w:p w:rsidR="009466C0" w:rsidRPr="001C0122" w:rsidRDefault="009466C0" w:rsidP="00CE08DE">
      <w:pPr>
        <w:pStyle w:val="Heading3"/>
        <w:spacing w:before="0" w:line="240" w:lineRule="auto"/>
      </w:pPr>
      <w:r w:rsidRPr="001C0122">
        <w:t>Guidance</w:t>
      </w:r>
    </w:p>
    <w:p w:rsidR="00CE08DE" w:rsidRDefault="00CE08DE" w:rsidP="00CE08DE">
      <w:pPr>
        <w:spacing w:after="0" w:line="240" w:lineRule="auto"/>
        <w:rPr>
          <w:rFonts w:cs="Arial"/>
        </w:rPr>
      </w:pPr>
    </w:p>
    <w:p w:rsidR="009466C0" w:rsidRDefault="009466C0" w:rsidP="00CE08DE">
      <w:pPr>
        <w:spacing w:after="0" w:line="240" w:lineRule="auto"/>
        <w:rPr>
          <w:rFonts w:cs="Arial"/>
        </w:rPr>
      </w:pPr>
      <w:r>
        <w:rPr>
          <w:rFonts w:cs="Arial"/>
        </w:rPr>
        <w:t xml:space="preserve">Further guidance could be developed on the peer review expectations for different types of research.  </w:t>
      </w:r>
      <w:r w:rsidRPr="005B7E1B">
        <w:rPr>
          <w:rFonts w:cs="Arial"/>
        </w:rPr>
        <w:t xml:space="preserve">For example, Health Research South’s guidelines for scientific peer review </w:t>
      </w:r>
      <w:r>
        <w:rPr>
          <w:rFonts w:cs="Arial"/>
        </w:rPr>
        <w:t xml:space="preserve">of research involving human participants </w:t>
      </w:r>
      <w:r w:rsidRPr="005B7E1B">
        <w:rPr>
          <w:rFonts w:cs="Arial"/>
        </w:rPr>
        <w:t>describe three levels of peer review:</w:t>
      </w:r>
    </w:p>
    <w:p w:rsidR="00CE08DE" w:rsidRPr="005B7E1B" w:rsidRDefault="00CE08DE" w:rsidP="00CE08DE">
      <w:pPr>
        <w:spacing w:after="0" w:line="240" w:lineRule="auto"/>
        <w:rPr>
          <w:rFonts w:cs="Arial"/>
        </w:rPr>
      </w:pPr>
    </w:p>
    <w:p w:rsidR="009466C0" w:rsidRDefault="009466C0" w:rsidP="00CE08DE">
      <w:pPr>
        <w:pStyle w:val="ListParagraph"/>
        <w:numPr>
          <w:ilvl w:val="0"/>
          <w:numId w:val="19"/>
        </w:numPr>
        <w:tabs>
          <w:tab w:val="clear" w:pos="-54"/>
        </w:tabs>
        <w:spacing w:after="0" w:line="240" w:lineRule="auto"/>
        <w:ind w:left="744" w:hanging="518"/>
        <w:contextualSpacing w:val="0"/>
        <w:rPr>
          <w:rFonts w:cs="Arial"/>
        </w:rPr>
      </w:pPr>
      <w:r w:rsidRPr="005B7E1B">
        <w:rPr>
          <w:rFonts w:cs="Arial"/>
        </w:rPr>
        <w:t xml:space="preserve">Level A </w:t>
      </w:r>
      <w:r>
        <w:rPr>
          <w:rFonts w:cs="Arial"/>
        </w:rPr>
        <w:t>is required for HDEC and other ethics committee review and reflects the level of ethics risk and need for sound scientific justification, methodology and feasibility; this level of review is also expected for research where there is greater research complexity, resource investment and institutional risk.</w:t>
      </w:r>
    </w:p>
    <w:p w:rsidR="00CE08DE" w:rsidRDefault="00CE08DE" w:rsidP="00CE08DE">
      <w:pPr>
        <w:pStyle w:val="ListParagraph"/>
        <w:spacing w:after="0" w:line="240" w:lineRule="auto"/>
        <w:ind w:left="744"/>
        <w:contextualSpacing w:val="0"/>
        <w:rPr>
          <w:rFonts w:cs="Arial"/>
        </w:rPr>
      </w:pPr>
    </w:p>
    <w:p w:rsidR="009466C0" w:rsidRDefault="009466C0" w:rsidP="00CE08DE">
      <w:pPr>
        <w:pStyle w:val="ListParagraph"/>
        <w:numPr>
          <w:ilvl w:val="0"/>
          <w:numId w:val="19"/>
        </w:numPr>
        <w:tabs>
          <w:tab w:val="clear" w:pos="-54"/>
        </w:tabs>
        <w:spacing w:after="0" w:line="240" w:lineRule="auto"/>
        <w:ind w:left="744" w:hanging="518"/>
        <w:contextualSpacing w:val="0"/>
        <w:rPr>
          <w:rFonts w:cs="Arial"/>
        </w:rPr>
      </w:pPr>
      <w:r>
        <w:rPr>
          <w:rFonts w:cs="Arial"/>
        </w:rPr>
        <w:t>Level B is required for research not requiring HDEC review and recognises that some research has lower risk, complexity and investment of resource.</w:t>
      </w:r>
    </w:p>
    <w:p w:rsidR="00CE08DE" w:rsidRPr="00CE08DE" w:rsidRDefault="00CE08DE" w:rsidP="00CE08DE">
      <w:pPr>
        <w:spacing w:after="0" w:line="240" w:lineRule="auto"/>
        <w:rPr>
          <w:rFonts w:cs="Arial"/>
        </w:rPr>
      </w:pPr>
    </w:p>
    <w:p w:rsidR="009466C0" w:rsidRDefault="009466C0" w:rsidP="00CE08DE">
      <w:pPr>
        <w:pStyle w:val="ListParagraph"/>
        <w:numPr>
          <w:ilvl w:val="0"/>
          <w:numId w:val="19"/>
        </w:numPr>
        <w:tabs>
          <w:tab w:val="clear" w:pos="-54"/>
        </w:tabs>
        <w:spacing w:after="0" w:line="240" w:lineRule="auto"/>
        <w:ind w:left="744" w:hanging="518"/>
        <w:contextualSpacing w:val="0"/>
        <w:rPr>
          <w:rFonts w:cs="Arial"/>
        </w:rPr>
      </w:pPr>
      <w:r>
        <w:rPr>
          <w:rFonts w:cs="Arial"/>
        </w:rPr>
        <w:t xml:space="preserve">Level C is required for confirming validity of research carried out for the purpose of learning to do research, there is no direct intent to gain new knowledge and ethics committee review is not required.  </w:t>
      </w:r>
    </w:p>
    <w:p w:rsidR="00CE08DE" w:rsidRPr="000250C2" w:rsidRDefault="00CE08DE" w:rsidP="000250C2">
      <w:pPr>
        <w:spacing w:after="0" w:line="240" w:lineRule="auto"/>
        <w:rPr>
          <w:rFonts w:cs="Arial"/>
        </w:rPr>
      </w:pPr>
    </w:p>
    <w:p w:rsidR="009466C0" w:rsidRPr="001C0122" w:rsidRDefault="009466C0" w:rsidP="00CE08DE">
      <w:pPr>
        <w:pStyle w:val="Heading3"/>
        <w:spacing w:before="0" w:line="240" w:lineRule="auto"/>
      </w:pPr>
      <w:r>
        <w:t>Limitations of scientific peer review</w:t>
      </w:r>
    </w:p>
    <w:p w:rsidR="00CE08DE" w:rsidRDefault="00CE08DE" w:rsidP="00CE08DE">
      <w:pPr>
        <w:spacing w:after="0" w:line="240" w:lineRule="auto"/>
        <w:rPr>
          <w:rFonts w:cs="Arial"/>
        </w:rPr>
      </w:pPr>
    </w:p>
    <w:p w:rsidR="009466C0" w:rsidRPr="00E52C92" w:rsidRDefault="00E52C92" w:rsidP="00CE08DE">
      <w:pPr>
        <w:spacing w:after="0" w:line="240" w:lineRule="auto"/>
        <w:rPr>
          <w:rFonts w:cs="Arial"/>
        </w:rPr>
      </w:pPr>
      <w:r w:rsidRPr="00E52C92">
        <w:rPr>
          <w:rFonts w:cs="Arial"/>
        </w:rPr>
        <w:t xml:space="preserve">One suggestion </w:t>
      </w:r>
      <w:r>
        <w:rPr>
          <w:rFonts w:cs="Arial"/>
        </w:rPr>
        <w:t xml:space="preserve">for addressing the lack of expertise on HDECs is to have a panel of independent peer reviewers that they could seek advice from, either on the peer review </w:t>
      </w:r>
      <w:r w:rsidR="002031BD">
        <w:rPr>
          <w:rFonts w:cs="Arial"/>
        </w:rPr>
        <w:t xml:space="preserve">for a particular study </w:t>
      </w:r>
      <w:r>
        <w:rPr>
          <w:rFonts w:cs="Arial"/>
        </w:rPr>
        <w:t xml:space="preserve">or how the </w:t>
      </w:r>
      <w:r w:rsidR="002031BD">
        <w:rPr>
          <w:rFonts w:cs="Arial"/>
        </w:rPr>
        <w:t>study</w:t>
      </w:r>
      <w:r>
        <w:rPr>
          <w:rFonts w:cs="Arial"/>
        </w:rPr>
        <w:t xml:space="preserve"> will be operationalised.  </w:t>
      </w:r>
    </w:p>
    <w:p w:rsidR="00CE08DE" w:rsidRPr="000250C2" w:rsidRDefault="00CE08DE" w:rsidP="000250C2">
      <w:pPr>
        <w:spacing w:after="0" w:line="240" w:lineRule="auto"/>
        <w:rPr>
          <w:rFonts w:cs="Arial"/>
        </w:rPr>
      </w:pPr>
    </w:p>
    <w:p w:rsidR="009466C0" w:rsidRDefault="0037513D" w:rsidP="00CE08DE">
      <w:pPr>
        <w:pStyle w:val="Heading3"/>
        <w:spacing w:before="0"/>
      </w:pPr>
      <w:r>
        <w:t>4</w:t>
      </w:r>
      <w:r w:rsidR="009466C0">
        <w:t>.5</w:t>
      </w:r>
      <w:r w:rsidR="009466C0">
        <w:tab/>
        <w:t>Questions</w:t>
      </w:r>
    </w:p>
    <w:p w:rsidR="00CE08DE" w:rsidRPr="00CE08DE" w:rsidRDefault="00CE08DE" w:rsidP="00CE08DE">
      <w:pPr>
        <w:spacing w:after="0"/>
      </w:pPr>
    </w:p>
    <w:p w:rsidR="00E52C92" w:rsidRDefault="00E52C92" w:rsidP="00CE08DE">
      <w:pPr>
        <w:pStyle w:val="ListParagraph"/>
        <w:numPr>
          <w:ilvl w:val="0"/>
          <w:numId w:val="32"/>
        </w:numPr>
        <w:spacing w:after="0" w:line="240" w:lineRule="auto"/>
        <w:rPr>
          <w:rFonts w:cs="Arial"/>
        </w:rPr>
      </w:pPr>
      <w:r w:rsidRPr="00CE08DE">
        <w:rPr>
          <w:rFonts w:cs="Arial"/>
        </w:rPr>
        <w:t>What are the barriers to accessing scientific peer review?</w:t>
      </w:r>
    </w:p>
    <w:p w:rsidR="00CE08DE" w:rsidRPr="00CE08DE" w:rsidRDefault="00CE08DE" w:rsidP="00CE08DE">
      <w:pPr>
        <w:pStyle w:val="ListParagraph"/>
        <w:spacing w:after="0" w:line="240" w:lineRule="auto"/>
        <w:rPr>
          <w:rFonts w:cs="Arial"/>
        </w:rPr>
      </w:pPr>
    </w:p>
    <w:p w:rsidR="00E52C92" w:rsidRPr="00CE08DE" w:rsidRDefault="00E52C92" w:rsidP="00CE08DE">
      <w:pPr>
        <w:pStyle w:val="ListParagraph"/>
        <w:numPr>
          <w:ilvl w:val="0"/>
          <w:numId w:val="32"/>
        </w:numPr>
        <w:spacing w:after="0" w:line="240" w:lineRule="auto"/>
      </w:pPr>
      <w:r w:rsidRPr="00CE08DE">
        <w:rPr>
          <w:rFonts w:cs="Arial"/>
        </w:rPr>
        <w:t>What other options could be provided for researchers seeking scientific peer review?</w:t>
      </w:r>
    </w:p>
    <w:p w:rsidR="00CE08DE" w:rsidRDefault="00CE08DE" w:rsidP="00CE08DE">
      <w:pPr>
        <w:spacing w:after="0" w:line="240" w:lineRule="auto"/>
      </w:pPr>
    </w:p>
    <w:p w:rsidR="009466C0" w:rsidRDefault="009466C0" w:rsidP="00CE08DE">
      <w:pPr>
        <w:pStyle w:val="ListParagraph"/>
        <w:numPr>
          <w:ilvl w:val="0"/>
          <w:numId w:val="32"/>
        </w:numPr>
        <w:spacing w:after="0" w:line="240" w:lineRule="auto"/>
        <w:rPr>
          <w:rFonts w:cs="Arial"/>
        </w:rPr>
      </w:pPr>
      <w:r w:rsidRPr="00CE08DE">
        <w:rPr>
          <w:rFonts w:cs="Arial"/>
        </w:rPr>
        <w:t>What additional guidance on scientific peer review would be helpful?</w:t>
      </w:r>
    </w:p>
    <w:p w:rsidR="00CE08DE" w:rsidRPr="00CE08DE" w:rsidRDefault="00CE08DE" w:rsidP="00CE08DE">
      <w:pPr>
        <w:spacing w:after="0" w:line="240" w:lineRule="auto"/>
        <w:rPr>
          <w:rFonts w:cs="Arial"/>
        </w:rPr>
      </w:pPr>
    </w:p>
    <w:p w:rsidR="00E16437" w:rsidRPr="00CE08DE" w:rsidRDefault="00E52C92" w:rsidP="00CE08DE">
      <w:pPr>
        <w:pStyle w:val="ListParagraph"/>
        <w:numPr>
          <w:ilvl w:val="0"/>
          <w:numId w:val="32"/>
        </w:numPr>
        <w:spacing w:after="0" w:line="240" w:lineRule="auto"/>
        <w:rPr>
          <w:rFonts w:cs="Arial"/>
        </w:rPr>
      </w:pPr>
      <w:r w:rsidRPr="00CE08DE">
        <w:rPr>
          <w:rFonts w:cs="Arial"/>
        </w:rPr>
        <w:t xml:space="preserve">What </w:t>
      </w:r>
      <w:r w:rsidR="00E16437" w:rsidRPr="00CE08DE">
        <w:rPr>
          <w:rFonts w:cs="Arial"/>
        </w:rPr>
        <w:t>mechanisms could be available for HDECs to obtain advice on the scientific peer review of a proposed study?</w:t>
      </w:r>
    </w:p>
    <w:p w:rsidR="00CB522C" w:rsidRDefault="00CB522C" w:rsidP="00CE08DE">
      <w:pPr>
        <w:spacing w:after="0"/>
      </w:pPr>
    </w:p>
    <w:p w:rsidR="009466C0" w:rsidRDefault="00CB522C" w:rsidP="00CE08DE">
      <w:pPr>
        <w:pStyle w:val="Heading2"/>
        <w:numPr>
          <w:ilvl w:val="0"/>
          <w:numId w:val="17"/>
        </w:numPr>
        <w:spacing w:before="0"/>
      </w:pPr>
      <w:r>
        <w:br w:type="page"/>
      </w:r>
      <w:bookmarkStart w:id="24" w:name="_Toc401587738"/>
      <w:r w:rsidR="009466C0">
        <w:t>A</w:t>
      </w:r>
      <w:r w:rsidR="009466C0" w:rsidRPr="003B38AD">
        <w:t>udit and audit-related activity</w:t>
      </w:r>
      <w:bookmarkEnd w:id="24"/>
      <w:r w:rsidR="009466C0" w:rsidRPr="003B38AD">
        <w:t xml:space="preserve"> </w:t>
      </w:r>
    </w:p>
    <w:p w:rsidR="00CE08DE" w:rsidRPr="000250C2" w:rsidRDefault="00CE08DE" w:rsidP="000250C2">
      <w:pPr>
        <w:spacing w:after="0" w:line="240" w:lineRule="auto"/>
        <w:rPr>
          <w:rFonts w:cs="Arial"/>
        </w:rPr>
      </w:pPr>
    </w:p>
    <w:p w:rsidR="009466C0" w:rsidRPr="003B38AD" w:rsidRDefault="0037513D" w:rsidP="00CE08DE">
      <w:pPr>
        <w:pStyle w:val="Heading3"/>
        <w:spacing w:before="0"/>
      </w:pPr>
      <w:r>
        <w:t>5</w:t>
      </w:r>
      <w:r w:rsidR="009466C0">
        <w:t>.1</w:t>
      </w:r>
      <w:r w:rsidR="009466C0">
        <w:tab/>
      </w:r>
      <w:r w:rsidR="009466C0" w:rsidRPr="003B38AD">
        <w:t xml:space="preserve">Current ethics arrangements </w:t>
      </w:r>
    </w:p>
    <w:p w:rsidR="009466C0" w:rsidRDefault="009466C0" w:rsidP="00CE08DE">
      <w:pPr>
        <w:pStyle w:val="Number"/>
        <w:tabs>
          <w:tab w:val="clear" w:pos="360"/>
        </w:tabs>
        <w:spacing w:before="0"/>
        <w:rPr>
          <w:sz w:val="24"/>
          <w:szCs w:val="24"/>
        </w:rPr>
      </w:pPr>
    </w:p>
    <w:p w:rsidR="004E3292" w:rsidRDefault="004E3292" w:rsidP="00CE08DE">
      <w:pPr>
        <w:pStyle w:val="Number"/>
        <w:tabs>
          <w:tab w:val="clear" w:pos="360"/>
        </w:tabs>
        <w:spacing w:before="0"/>
        <w:rPr>
          <w:sz w:val="24"/>
          <w:szCs w:val="24"/>
        </w:rPr>
      </w:pPr>
      <w:r>
        <w:rPr>
          <w:sz w:val="24"/>
          <w:szCs w:val="24"/>
        </w:rPr>
        <w:t>The primary purpose of an audit or related activity is to improve delivery of the particular health or disability support service being studied or to cont</w:t>
      </w:r>
      <w:r w:rsidR="00CE08DE">
        <w:rPr>
          <w:sz w:val="24"/>
          <w:szCs w:val="24"/>
        </w:rPr>
        <w:t xml:space="preserve">rol a threat to public health. </w:t>
      </w:r>
      <w:r>
        <w:rPr>
          <w:sz w:val="24"/>
          <w:szCs w:val="24"/>
        </w:rPr>
        <w:t xml:space="preserve">There is an expectation that health professionals will undertake such activity to monitor the quality of their work.  </w:t>
      </w:r>
    </w:p>
    <w:p w:rsidR="004E3292" w:rsidRDefault="004E3292" w:rsidP="00CE08DE">
      <w:pPr>
        <w:pStyle w:val="Number"/>
        <w:tabs>
          <w:tab w:val="clear" w:pos="360"/>
        </w:tabs>
        <w:spacing w:before="0"/>
        <w:rPr>
          <w:sz w:val="24"/>
          <w:szCs w:val="24"/>
        </w:rPr>
      </w:pPr>
    </w:p>
    <w:p w:rsidR="009466C0" w:rsidRPr="00895D35" w:rsidRDefault="009466C0" w:rsidP="00CE08DE">
      <w:pPr>
        <w:pStyle w:val="Number"/>
        <w:tabs>
          <w:tab w:val="clear" w:pos="360"/>
        </w:tabs>
        <w:spacing w:before="0"/>
        <w:rPr>
          <w:sz w:val="24"/>
          <w:szCs w:val="24"/>
        </w:rPr>
      </w:pPr>
      <w:r w:rsidRPr="00895D35">
        <w:rPr>
          <w:sz w:val="24"/>
          <w:szCs w:val="24"/>
        </w:rPr>
        <w:t xml:space="preserve">The </w:t>
      </w:r>
      <w:r w:rsidR="00772790" w:rsidRPr="00772790">
        <w:rPr>
          <w:i/>
          <w:sz w:val="24"/>
          <w:szCs w:val="24"/>
        </w:rPr>
        <w:t>S</w:t>
      </w:r>
      <w:r w:rsidRPr="00772790">
        <w:rPr>
          <w:i/>
          <w:sz w:val="24"/>
          <w:szCs w:val="24"/>
        </w:rPr>
        <w:t xml:space="preserve">tandard </w:t>
      </w:r>
      <w:r w:rsidR="00772790" w:rsidRPr="00772790">
        <w:rPr>
          <w:i/>
          <w:sz w:val="24"/>
          <w:szCs w:val="24"/>
        </w:rPr>
        <w:t>O</w:t>
      </w:r>
      <w:r w:rsidRPr="00772790">
        <w:rPr>
          <w:i/>
          <w:sz w:val="24"/>
          <w:szCs w:val="24"/>
        </w:rPr>
        <w:t xml:space="preserve">perating </w:t>
      </w:r>
      <w:r w:rsidR="00772790" w:rsidRPr="00772790">
        <w:rPr>
          <w:i/>
          <w:sz w:val="24"/>
          <w:szCs w:val="24"/>
        </w:rPr>
        <w:t>P</w:t>
      </w:r>
      <w:r w:rsidRPr="00772790">
        <w:rPr>
          <w:i/>
          <w:sz w:val="24"/>
          <w:szCs w:val="24"/>
        </w:rPr>
        <w:t>rocedures</w:t>
      </w:r>
      <w:r>
        <w:rPr>
          <w:i/>
          <w:sz w:val="24"/>
          <w:szCs w:val="24"/>
        </w:rPr>
        <w:t xml:space="preserve"> </w:t>
      </w:r>
      <w:r>
        <w:rPr>
          <w:sz w:val="24"/>
          <w:szCs w:val="24"/>
        </w:rPr>
        <w:t>for HDECs</w:t>
      </w:r>
      <w:r w:rsidRPr="00895D35">
        <w:rPr>
          <w:sz w:val="24"/>
          <w:szCs w:val="24"/>
        </w:rPr>
        <w:t xml:space="preserve"> state that an audit or related activity requires HDEC review </w:t>
      </w:r>
      <w:r w:rsidRPr="00895D35">
        <w:rPr>
          <w:b/>
          <w:sz w:val="24"/>
          <w:szCs w:val="24"/>
        </w:rPr>
        <w:t>only if</w:t>
      </w:r>
      <w:r w:rsidRPr="00895D35">
        <w:rPr>
          <w:sz w:val="24"/>
          <w:szCs w:val="24"/>
        </w:rPr>
        <w:t xml:space="preserve"> it involves the use, collection or storage of human tissue without consent, other than in accordance with a statutory exception.</w:t>
      </w:r>
      <w:r w:rsidR="00CE08DE">
        <w:rPr>
          <w:rStyle w:val="FootnoteReference"/>
          <w:sz w:val="24"/>
          <w:szCs w:val="24"/>
        </w:rPr>
        <w:footnoteReference w:id="15"/>
      </w:r>
    </w:p>
    <w:p w:rsidR="009466C0" w:rsidRPr="00895D35" w:rsidRDefault="009466C0" w:rsidP="00CE08DE">
      <w:pPr>
        <w:pStyle w:val="Number"/>
        <w:tabs>
          <w:tab w:val="clear" w:pos="360"/>
        </w:tabs>
        <w:spacing w:before="0"/>
        <w:rPr>
          <w:sz w:val="24"/>
          <w:szCs w:val="24"/>
        </w:rPr>
      </w:pPr>
    </w:p>
    <w:p w:rsidR="009466C0" w:rsidRDefault="009466C0" w:rsidP="00CE08DE">
      <w:pPr>
        <w:pStyle w:val="Number"/>
        <w:tabs>
          <w:tab w:val="clear" w:pos="360"/>
        </w:tabs>
        <w:spacing w:before="0"/>
        <w:rPr>
          <w:rFonts w:cs="Arial"/>
          <w:sz w:val="24"/>
          <w:szCs w:val="24"/>
        </w:rPr>
      </w:pPr>
      <w:r w:rsidRPr="00895D35">
        <w:rPr>
          <w:sz w:val="24"/>
          <w:szCs w:val="24"/>
        </w:rPr>
        <w:t xml:space="preserve">The </w:t>
      </w:r>
      <w:r>
        <w:rPr>
          <w:i/>
          <w:sz w:val="24"/>
          <w:szCs w:val="24"/>
        </w:rPr>
        <w:t>Standard Operating P</w:t>
      </w:r>
      <w:r w:rsidRPr="00895D35">
        <w:rPr>
          <w:i/>
          <w:sz w:val="24"/>
          <w:szCs w:val="24"/>
        </w:rPr>
        <w:t xml:space="preserve">rocedures </w:t>
      </w:r>
      <w:r w:rsidRPr="00895D35">
        <w:rPr>
          <w:sz w:val="24"/>
          <w:szCs w:val="24"/>
        </w:rPr>
        <w:t xml:space="preserve">rely on the definition as set out in NEAC’s </w:t>
      </w:r>
      <w:r w:rsidRPr="00895D35">
        <w:rPr>
          <w:i/>
          <w:sz w:val="24"/>
          <w:szCs w:val="24"/>
        </w:rPr>
        <w:t>Ethical Guidelines for Observational Studies</w:t>
      </w:r>
      <w:r w:rsidR="00CE08DE">
        <w:rPr>
          <w:i/>
          <w:sz w:val="24"/>
          <w:szCs w:val="24"/>
        </w:rPr>
        <w:t xml:space="preserve"> </w:t>
      </w:r>
      <w:r w:rsidRPr="00895D35">
        <w:rPr>
          <w:sz w:val="24"/>
          <w:szCs w:val="24"/>
        </w:rPr>
        <w:t xml:space="preserve">(2012). </w:t>
      </w:r>
      <w:r w:rsidRPr="00895D35">
        <w:rPr>
          <w:rFonts w:cs="Arial"/>
          <w:sz w:val="24"/>
          <w:szCs w:val="24"/>
        </w:rPr>
        <w:t>The</w:t>
      </w:r>
      <w:r>
        <w:rPr>
          <w:rFonts w:cs="Arial"/>
          <w:sz w:val="24"/>
          <w:szCs w:val="24"/>
        </w:rPr>
        <w:t>se</w:t>
      </w:r>
      <w:r w:rsidRPr="00895D35">
        <w:rPr>
          <w:rFonts w:cs="Arial"/>
          <w:sz w:val="24"/>
          <w:szCs w:val="24"/>
        </w:rPr>
        <w:t xml:space="preserve"> guidelines suggest that the major di</w:t>
      </w:r>
      <w:r>
        <w:rPr>
          <w:rFonts w:cs="Arial"/>
          <w:sz w:val="24"/>
          <w:szCs w:val="24"/>
        </w:rPr>
        <w:t xml:space="preserve">fference </w:t>
      </w:r>
      <w:r w:rsidRPr="00895D35">
        <w:rPr>
          <w:rFonts w:cs="Arial"/>
          <w:sz w:val="24"/>
          <w:szCs w:val="24"/>
        </w:rPr>
        <w:t xml:space="preserve">between audit and </w:t>
      </w:r>
      <w:r>
        <w:rPr>
          <w:rFonts w:cs="Arial"/>
          <w:sz w:val="24"/>
          <w:szCs w:val="24"/>
        </w:rPr>
        <w:t xml:space="preserve">observational </w:t>
      </w:r>
      <w:r w:rsidRPr="00895D35">
        <w:rPr>
          <w:rFonts w:cs="Arial"/>
          <w:sz w:val="24"/>
          <w:szCs w:val="24"/>
        </w:rPr>
        <w:t>research is the primary purpose or</w:t>
      </w:r>
      <w:r>
        <w:rPr>
          <w:rFonts w:cs="Arial"/>
          <w:sz w:val="24"/>
          <w:szCs w:val="24"/>
        </w:rPr>
        <w:t xml:space="preserve"> justification for the activity: </w:t>
      </w:r>
    </w:p>
    <w:p w:rsidR="009466C0" w:rsidRDefault="009466C0" w:rsidP="00CE08DE">
      <w:pPr>
        <w:pStyle w:val="Number"/>
        <w:tabs>
          <w:tab w:val="clear" w:pos="360"/>
        </w:tabs>
        <w:spacing w:before="0"/>
        <w:rPr>
          <w:rFonts w:cs="Arial"/>
          <w:sz w:val="24"/>
          <w:szCs w:val="24"/>
        </w:rPr>
      </w:pPr>
    </w:p>
    <w:p w:rsidR="009466C0" w:rsidRDefault="009466C0" w:rsidP="00CE08DE">
      <w:pPr>
        <w:pStyle w:val="Number"/>
        <w:numPr>
          <w:ilvl w:val="0"/>
          <w:numId w:val="27"/>
        </w:numPr>
        <w:spacing w:before="0"/>
        <w:rPr>
          <w:sz w:val="24"/>
          <w:szCs w:val="24"/>
        </w:rPr>
      </w:pPr>
      <w:r w:rsidRPr="00895D35">
        <w:rPr>
          <w:sz w:val="24"/>
          <w:szCs w:val="24"/>
        </w:rPr>
        <w:t xml:space="preserve">audit or related activity </w:t>
      </w:r>
      <w:r>
        <w:rPr>
          <w:sz w:val="24"/>
          <w:szCs w:val="24"/>
        </w:rPr>
        <w:t>aims</w:t>
      </w:r>
      <w:r w:rsidRPr="00895D35">
        <w:rPr>
          <w:sz w:val="24"/>
          <w:szCs w:val="24"/>
        </w:rPr>
        <w:t xml:space="preserve"> to improve delivery of the particular health or disability support service being studied or to con</w:t>
      </w:r>
      <w:r>
        <w:rPr>
          <w:sz w:val="24"/>
          <w:szCs w:val="24"/>
        </w:rPr>
        <w:t>trol a threat to public health</w:t>
      </w:r>
    </w:p>
    <w:p w:rsidR="009466C0" w:rsidRDefault="009466C0" w:rsidP="00CE08DE">
      <w:pPr>
        <w:pStyle w:val="Number"/>
        <w:tabs>
          <w:tab w:val="clear" w:pos="360"/>
        </w:tabs>
        <w:spacing w:before="0"/>
        <w:ind w:left="720"/>
        <w:rPr>
          <w:sz w:val="24"/>
          <w:szCs w:val="24"/>
        </w:rPr>
      </w:pPr>
    </w:p>
    <w:p w:rsidR="009466C0" w:rsidRPr="00895D35" w:rsidRDefault="009466C0" w:rsidP="00CE08DE">
      <w:pPr>
        <w:pStyle w:val="Number"/>
        <w:numPr>
          <w:ilvl w:val="0"/>
          <w:numId w:val="27"/>
        </w:numPr>
        <w:spacing w:before="0"/>
        <w:rPr>
          <w:sz w:val="24"/>
          <w:szCs w:val="24"/>
        </w:rPr>
      </w:pPr>
      <w:proofErr w:type="gramStart"/>
      <w:r>
        <w:rPr>
          <w:sz w:val="24"/>
          <w:szCs w:val="24"/>
        </w:rPr>
        <w:t>observational</w:t>
      </w:r>
      <w:proofErr w:type="gramEnd"/>
      <w:r>
        <w:rPr>
          <w:sz w:val="24"/>
          <w:szCs w:val="24"/>
        </w:rPr>
        <w:t xml:space="preserve"> research aims to add to </w:t>
      </w:r>
      <w:proofErr w:type="spellStart"/>
      <w:r>
        <w:rPr>
          <w:sz w:val="24"/>
          <w:szCs w:val="24"/>
        </w:rPr>
        <w:t>generalisable</w:t>
      </w:r>
      <w:proofErr w:type="spellEnd"/>
      <w:r>
        <w:rPr>
          <w:sz w:val="24"/>
          <w:szCs w:val="24"/>
        </w:rPr>
        <w:t xml:space="preserve"> knowledge about a health or disability issue. </w:t>
      </w:r>
    </w:p>
    <w:p w:rsidR="009466C0" w:rsidRDefault="009466C0" w:rsidP="00CE08DE">
      <w:pPr>
        <w:pStyle w:val="Number"/>
        <w:tabs>
          <w:tab w:val="clear" w:pos="360"/>
        </w:tabs>
        <w:spacing w:before="0"/>
        <w:rPr>
          <w:sz w:val="24"/>
          <w:szCs w:val="24"/>
        </w:rPr>
      </w:pPr>
    </w:p>
    <w:p w:rsidR="009466C0" w:rsidRPr="00952D07" w:rsidRDefault="009466C0" w:rsidP="00CE08DE">
      <w:pPr>
        <w:pStyle w:val="Number"/>
        <w:tabs>
          <w:tab w:val="clear" w:pos="360"/>
        </w:tabs>
        <w:spacing w:before="0"/>
        <w:rPr>
          <w:sz w:val="24"/>
          <w:szCs w:val="24"/>
        </w:rPr>
      </w:pPr>
      <w:r w:rsidRPr="00952D07">
        <w:rPr>
          <w:sz w:val="24"/>
          <w:szCs w:val="24"/>
        </w:rPr>
        <w:t>A summary of the 10 main types of audit and related activities were brought into</w:t>
      </w:r>
      <w:r>
        <w:rPr>
          <w:sz w:val="24"/>
          <w:szCs w:val="24"/>
        </w:rPr>
        <w:t xml:space="preserve"> NEAC’s</w:t>
      </w:r>
      <w:r w:rsidRPr="00952D07">
        <w:rPr>
          <w:sz w:val="24"/>
          <w:szCs w:val="24"/>
        </w:rPr>
        <w:t xml:space="preserve"> guidelines following consultation feedback that definitions of ‘audit’ and ‘research’ require clarification. These are </w:t>
      </w:r>
      <w:r>
        <w:rPr>
          <w:sz w:val="24"/>
          <w:szCs w:val="24"/>
        </w:rPr>
        <w:t>reproduced</w:t>
      </w:r>
      <w:r w:rsidRPr="00952D07">
        <w:rPr>
          <w:sz w:val="24"/>
          <w:szCs w:val="24"/>
        </w:rPr>
        <w:t xml:space="preserve"> below.</w:t>
      </w:r>
    </w:p>
    <w:p w:rsidR="009466C0" w:rsidRPr="003B38AD" w:rsidRDefault="009466C0" w:rsidP="00CE08DE">
      <w:pPr>
        <w:pStyle w:val="Number"/>
        <w:tabs>
          <w:tab w:val="clear" w:pos="360"/>
        </w:tabs>
        <w:spacing w:before="0" w:line="264"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466C0" w:rsidRPr="00826BCD" w:rsidTr="00012DE2">
        <w:tc>
          <w:tcPr>
            <w:tcW w:w="9242" w:type="dxa"/>
            <w:shd w:val="clear" w:color="auto" w:fill="auto"/>
          </w:tcPr>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Audits</w:t>
            </w:r>
            <w:r w:rsidRPr="005C1520">
              <w:rPr>
                <w:color w:val="auto"/>
                <w:sz w:val="24"/>
                <w:szCs w:val="24"/>
              </w:rPr>
              <w:t xml:space="preserve"> involve the systematic evaluation of aspects of health or disability support service delivery by considering measurable indicators of performance and/or quality.</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Programme evaluation</w:t>
            </w:r>
            <w:r w:rsidRPr="005C1520">
              <w:rPr>
                <w:color w:val="auto"/>
                <w:sz w:val="24"/>
                <w:szCs w:val="24"/>
              </w:rPr>
              <w:t xml:space="preserve"> is a type of audit where a whole programme is evaluated, rather than specific interventions.</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Evaluation studies</w:t>
            </w:r>
            <w:r w:rsidRPr="005C1520">
              <w:rPr>
                <w:color w:val="auto"/>
                <w:sz w:val="24"/>
                <w:szCs w:val="24"/>
              </w:rPr>
              <w:t xml:space="preserve"> aim to determine the relevance, effectiveness and impact of activities in the light of their objectives. Several types of evaluation are distinguished, including evaluation of the structure, process and outcome of an activity.</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Quality assurance activities</w:t>
            </w:r>
            <w:r w:rsidRPr="005C1520">
              <w:rPr>
                <w:color w:val="auto"/>
                <w:sz w:val="24"/>
                <w:szCs w:val="24"/>
              </w:rPr>
              <w:t xml:space="preserve"> aim to improve health and disability support services by assessing the adequacy of existing practice against a standard.</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Outcome analyses</w:t>
            </w:r>
            <w:r w:rsidRPr="005C1520">
              <w:rPr>
                <w:color w:val="auto"/>
                <w:sz w:val="24"/>
                <w:szCs w:val="24"/>
              </w:rPr>
              <w:t xml:space="preserve"> involve the assessment of health and disability support service quality by reviewing health care information to evaluate outcomes without comparing them against a standard. For example, clinicians may retrospectively examine health care notes and perform descriptive analyses to determine the outcome of medical treatment or course of a particular illness.</w:t>
            </w: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Benchmarking</w:t>
            </w:r>
            <w:r w:rsidRPr="005C1520">
              <w:rPr>
                <w:color w:val="auto"/>
                <w:sz w:val="24"/>
                <w:szCs w:val="24"/>
              </w:rPr>
              <w:t xml:space="preserve"> aims to improve practice through the comparison of two or more health and disability support services.</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Public health investigations</w:t>
            </w:r>
            <w:r w:rsidRPr="005C1520">
              <w:rPr>
                <w:color w:val="auto"/>
                <w:sz w:val="24"/>
                <w:szCs w:val="24"/>
              </w:rPr>
              <w:t xml:space="preserve"> explore possible risks to public health, are often of an immediate or urgent nature, and are often required by legislation. Examples are investigations into outbreaks or clusters of disease, analyses of vaccine safety and effectiveness, and contact tracing of communicable conditions.</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Public health surveillance</w:t>
            </w:r>
            <w:r w:rsidRPr="005C1520">
              <w:rPr>
                <w:color w:val="auto"/>
                <w:sz w:val="24"/>
                <w:szCs w:val="24"/>
              </w:rPr>
              <w:t xml:space="preserve"> involves the monitoring of risks to health by methods that include the systematic collection, analysis and dissemination of information about disease rates.</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proofErr w:type="spellStart"/>
            <w:r w:rsidRPr="005C1520">
              <w:rPr>
                <w:b/>
                <w:color w:val="auto"/>
                <w:sz w:val="24"/>
                <w:szCs w:val="24"/>
              </w:rPr>
              <w:t>Pharmacovigilance</w:t>
            </w:r>
            <w:proofErr w:type="spellEnd"/>
            <w:r w:rsidRPr="005C1520">
              <w:rPr>
                <w:color w:val="auto"/>
                <w:sz w:val="24"/>
                <w:szCs w:val="24"/>
              </w:rPr>
              <w:t xml:space="preserve"> (post-marketing surveillance) involves monitoring the adverse effects of pharmaceuticals after their introduction into the general population, by such methods as the spontaneous reporting of adverse events and the monitoring of all adverse events for a restricted group of medicines (prescription event monitoring).</w:t>
            </w:r>
          </w:p>
          <w:p w:rsidR="009466C0" w:rsidRPr="005C1520" w:rsidRDefault="009466C0" w:rsidP="00CE08DE">
            <w:pPr>
              <w:pStyle w:val="Bullet"/>
              <w:numPr>
                <w:ilvl w:val="0"/>
                <w:numId w:val="0"/>
              </w:numPr>
              <w:spacing w:before="0" w:line="240" w:lineRule="auto"/>
              <w:rPr>
                <w:b/>
                <w:color w:val="auto"/>
                <w:sz w:val="24"/>
                <w:szCs w:val="24"/>
              </w:rPr>
            </w:pPr>
          </w:p>
          <w:p w:rsidR="009466C0" w:rsidRPr="005C1520" w:rsidRDefault="009466C0" w:rsidP="00CE08DE">
            <w:pPr>
              <w:pStyle w:val="Bullet"/>
              <w:numPr>
                <w:ilvl w:val="0"/>
                <w:numId w:val="0"/>
              </w:numPr>
              <w:spacing w:before="0" w:line="240" w:lineRule="auto"/>
              <w:rPr>
                <w:color w:val="auto"/>
                <w:sz w:val="24"/>
                <w:szCs w:val="24"/>
              </w:rPr>
            </w:pPr>
            <w:r w:rsidRPr="005C1520">
              <w:rPr>
                <w:b/>
                <w:color w:val="auto"/>
                <w:sz w:val="24"/>
                <w:szCs w:val="24"/>
              </w:rPr>
              <w:t>Resource utilisation reviews</w:t>
            </w:r>
            <w:r w:rsidRPr="005C1520">
              <w:rPr>
                <w:color w:val="auto"/>
                <w:sz w:val="24"/>
                <w:szCs w:val="24"/>
              </w:rPr>
              <w:t xml:space="preserve"> evaluate the use of resources in a particular health or disability service activity, for example, by reviewing health records to determine health care inputs such as chest X-rays for patients with a particular diagnosis.</w:t>
            </w:r>
          </w:p>
        </w:tc>
      </w:tr>
    </w:tbl>
    <w:p w:rsidR="00CE08DE" w:rsidRPr="000250C2" w:rsidRDefault="00CE08DE" w:rsidP="000250C2">
      <w:pPr>
        <w:spacing w:after="0" w:line="240" w:lineRule="auto"/>
        <w:rPr>
          <w:rFonts w:cs="Arial"/>
        </w:rPr>
      </w:pPr>
    </w:p>
    <w:p w:rsidR="009466C0" w:rsidRPr="004E2D85" w:rsidRDefault="0037513D" w:rsidP="00CE08DE">
      <w:pPr>
        <w:pStyle w:val="Heading3"/>
        <w:spacing w:before="0"/>
      </w:pPr>
      <w:r>
        <w:t>5</w:t>
      </w:r>
      <w:r w:rsidR="009466C0">
        <w:t>.2</w:t>
      </w:r>
      <w:r w:rsidR="009466C0">
        <w:tab/>
      </w:r>
      <w:r w:rsidR="009466C0" w:rsidRPr="004E2D85">
        <w:t xml:space="preserve">Issues </w:t>
      </w:r>
    </w:p>
    <w:p w:rsidR="00CE08DE" w:rsidRDefault="00CE08DE" w:rsidP="00CE08DE">
      <w:pPr>
        <w:pStyle w:val="Number"/>
        <w:keepNext/>
        <w:tabs>
          <w:tab w:val="clear" w:pos="360"/>
        </w:tabs>
        <w:spacing w:before="0"/>
        <w:rPr>
          <w:rFonts w:cs="Arial"/>
          <w:sz w:val="24"/>
          <w:szCs w:val="24"/>
        </w:rPr>
      </w:pPr>
    </w:p>
    <w:p w:rsidR="009466C0" w:rsidRDefault="009466C0" w:rsidP="00CE08DE">
      <w:pPr>
        <w:pStyle w:val="Number"/>
        <w:keepNext/>
        <w:tabs>
          <w:tab w:val="clear" w:pos="360"/>
        </w:tabs>
        <w:spacing w:before="0"/>
        <w:rPr>
          <w:rFonts w:cs="Arial"/>
          <w:sz w:val="24"/>
          <w:szCs w:val="24"/>
        </w:rPr>
      </w:pPr>
      <w:r>
        <w:rPr>
          <w:rFonts w:cs="Arial"/>
          <w:sz w:val="24"/>
          <w:szCs w:val="24"/>
        </w:rPr>
        <w:t xml:space="preserve">NEAC’s review has found that there is some confusion around the definition of audit and related activity (as defined by NEAC’s guidelines) and therefore uncertainty about whether a researcher’s proposed activity requires HDEC review or not. </w:t>
      </w:r>
    </w:p>
    <w:p w:rsidR="00CE08DE" w:rsidRDefault="00CE08DE" w:rsidP="00CE08DE">
      <w:pPr>
        <w:pStyle w:val="Number"/>
        <w:keepNext/>
        <w:tabs>
          <w:tab w:val="clear" w:pos="360"/>
        </w:tabs>
        <w:spacing w:before="0"/>
        <w:rPr>
          <w:sz w:val="24"/>
          <w:szCs w:val="24"/>
        </w:rPr>
      </w:pPr>
    </w:p>
    <w:p w:rsidR="009466C0" w:rsidRDefault="009466C0" w:rsidP="00CE08DE">
      <w:pPr>
        <w:pStyle w:val="Number"/>
        <w:keepNext/>
        <w:tabs>
          <w:tab w:val="clear" w:pos="360"/>
        </w:tabs>
        <w:spacing w:before="0"/>
        <w:rPr>
          <w:sz w:val="24"/>
          <w:szCs w:val="24"/>
        </w:rPr>
      </w:pPr>
      <w:r>
        <w:rPr>
          <w:sz w:val="24"/>
          <w:szCs w:val="24"/>
        </w:rPr>
        <w:t>There is anecdotal evidence that ambiguity surrounding the distinction between observational research and audit may lead to:</w:t>
      </w:r>
    </w:p>
    <w:p w:rsidR="00CE08DE" w:rsidRPr="00BF516A" w:rsidRDefault="00CE08DE" w:rsidP="00CE08DE">
      <w:pPr>
        <w:pStyle w:val="Number"/>
        <w:keepNext/>
        <w:tabs>
          <w:tab w:val="clear" w:pos="360"/>
        </w:tabs>
        <w:spacing w:before="0"/>
        <w:rPr>
          <w:rFonts w:cs="Arial"/>
          <w:sz w:val="24"/>
          <w:szCs w:val="24"/>
        </w:rPr>
      </w:pPr>
    </w:p>
    <w:p w:rsidR="009466C0" w:rsidRDefault="009466C0" w:rsidP="00CE08DE">
      <w:pPr>
        <w:pStyle w:val="Number"/>
        <w:numPr>
          <w:ilvl w:val="0"/>
          <w:numId w:val="15"/>
        </w:numPr>
        <w:spacing w:before="0"/>
        <w:rPr>
          <w:sz w:val="24"/>
          <w:szCs w:val="24"/>
        </w:rPr>
      </w:pPr>
      <w:r>
        <w:rPr>
          <w:sz w:val="24"/>
          <w:szCs w:val="24"/>
        </w:rPr>
        <w:t xml:space="preserve">studies being declined for publication as the authors believed they were undertaking audit and had not sought HDEC approval, whereas journal editors considered it to be research that lacked ethics approval </w:t>
      </w:r>
    </w:p>
    <w:p w:rsidR="009466C0" w:rsidRDefault="009466C0" w:rsidP="00CE08DE">
      <w:pPr>
        <w:pStyle w:val="Number"/>
        <w:tabs>
          <w:tab w:val="clear" w:pos="360"/>
        </w:tabs>
        <w:spacing w:before="0"/>
        <w:ind w:left="720"/>
        <w:rPr>
          <w:sz w:val="24"/>
          <w:szCs w:val="24"/>
        </w:rPr>
      </w:pPr>
    </w:p>
    <w:p w:rsidR="009466C0" w:rsidRDefault="009466C0" w:rsidP="00CE08DE">
      <w:pPr>
        <w:pStyle w:val="Number"/>
        <w:numPr>
          <w:ilvl w:val="0"/>
          <w:numId w:val="15"/>
        </w:numPr>
        <w:spacing w:before="0"/>
        <w:rPr>
          <w:sz w:val="24"/>
          <w:szCs w:val="24"/>
        </w:rPr>
      </w:pPr>
      <w:proofErr w:type="gramStart"/>
      <w:r>
        <w:rPr>
          <w:sz w:val="24"/>
          <w:szCs w:val="24"/>
        </w:rPr>
        <w:t>researchers</w:t>
      </w:r>
      <w:proofErr w:type="gramEnd"/>
      <w:r>
        <w:rPr>
          <w:sz w:val="24"/>
          <w:szCs w:val="24"/>
        </w:rPr>
        <w:t xml:space="preserve"> designating their activities as ‘audit’ so as to avoid HDEC review, illustrating the point that the apparent distinction between observational research and audit can be vague enough for a researcher to apply either definition to their activity. </w:t>
      </w:r>
    </w:p>
    <w:p w:rsidR="00CE08DE" w:rsidRDefault="00CE08DE" w:rsidP="00CE08DE">
      <w:pPr>
        <w:pStyle w:val="Number"/>
        <w:tabs>
          <w:tab w:val="clear" w:pos="360"/>
        </w:tabs>
        <w:spacing w:before="0"/>
        <w:rPr>
          <w:sz w:val="24"/>
          <w:szCs w:val="24"/>
        </w:rPr>
      </w:pPr>
    </w:p>
    <w:p w:rsidR="009466C0" w:rsidRDefault="009466C0" w:rsidP="00CE08DE">
      <w:pPr>
        <w:pStyle w:val="Number"/>
        <w:keepNext/>
        <w:tabs>
          <w:tab w:val="clear" w:pos="360"/>
        </w:tabs>
        <w:spacing w:before="0"/>
        <w:rPr>
          <w:rFonts w:cs="Arial"/>
          <w:sz w:val="24"/>
          <w:szCs w:val="24"/>
        </w:rPr>
      </w:pPr>
      <w:r>
        <w:rPr>
          <w:rFonts w:cs="Arial"/>
          <w:sz w:val="24"/>
          <w:szCs w:val="24"/>
        </w:rPr>
        <w:t xml:space="preserve">Audit and other related activity </w:t>
      </w:r>
      <w:r w:rsidRPr="00BF516A">
        <w:rPr>
          <w:rFonts w:cs="Arial"/>
          <w:sz w:val="24"/>
          <w:szCs w:val="24"/>
        </w:rPr>
        <w:t>can employ methods similar to those used in</w:t>
      </w:r>
      <w:r>
        <w:rPr>
          <w:rFonts w:cs="Arial"/>
          <w:sz w:val="24"/>
          <w:szCs w:val="24"/>
        </w:rPr>
        <w:t xml:space="preserve"> observational</w:t>
      </w:r>
      <w:r w:rsidRPr="00BF516A">
        <w:rPr>
          <w:rFonts w:cs="Arial"/>
          <w:sz w:val="24"/>
          <w:szCs w:val="24"/>
        </w:rPr>
        <w:t xml:space="preserve"> research </w:t>
      </w:r>
      <w:r>
        <w:rPr>
          <w:rFonts w:cs="Arial"/>
          <w:sz w:val="24"/>
          <w:szCs w:val="24"/>
        </w:rPr>
        <w:t xml:space="preserve">and </w:t>
      </w:r>
      <w:r w:rsidRPr="00BF516A">
        <w:rPr>
          <w:rFonts w:cs="Arial"/>
          <w:sz w:val="24"/>
          <w:szCs w:val="24"/>
        </w:rPr>
        <w:t xml:space="preserve">have the potential to raise the </w:t>
      </w:r>
      <w:r>
        <w:rPr>
          <w:rFonts w:cs="Arial"/>
          <w:sz w:val="24"/>
          <w:szCs w:val="24"/>
        </w:rPr>
        <w:t xml:space="preserve">same </w:t>
      </w:r>
      <w:r w:rsidRPr="00BF516A">
        <w:rPr>
          <w:rFonts w:cs="Arial"/>
          <w:sz w:val="24"/>
          <w:szCs w:val="24"/>
        </w:rPr>
        <w:t>ethical issues</w:t>
      </w:r>
      <w:r w:rsidR="00CE08DE">
        <w:rPr>
          <w:rFonts w:cs="Arial"/>
          <w:sz w:val="24"/>
          <w:szCs w:val="24"/>
        </w:rPr>
        <w:t xml:space="preserve">. </w:t>
      </w:r>
      <w:r>
        <w:rPr>
          <w:rFonts w:cs="Arial"/>
          <w:sz w:val="24"/>
          <w:szCs w:val="24"/>
        </w:rPr>
        <w:t xml:space="preserve">The difficulty in creating </w:t>
      </w:r>
      <w:r w:rsidRPr="00257282">
        <w:rPr>
          <w:rFonts w:cs="Arial"/>
          <w:sz w:val="24"/>
          <w:szCs w:val="24"/>
        </w:rPr>
        <w:t>definitions that clearly separate ‘quality assurance’ from ‘clinical research’ ha</w:t>
      </w:r>
      <w:r>
        <w:rPr>
          <w:rFonts w:cs="Arial"/>
          <w:sz w:val="24"/>
          <w:szCs w:val="24"/>
        </w:rPr>
        <w:t>s</w:t>
      </w:r>
      <w:r w:rsidRPr="00257282">
        <w:rPr>
          <w:rFonts w:cs="Arial"/>
          <w:sz w:val="24"/>
          <w:szCs w:val="24"/>
        </w:rPr>
        <w:t xml:space="preserve"> been internationally recognised. </w:t>
      </w:r>
      <w:r w:rsidRPr="009466C0">
        <w:rPr>
          <w:vertAlign w:val="superscript"/>
        </w:rPr>
        <w:footnoteReference w:id="16"/>
      </w:r>
      <w:r>
        <w:rPr>
          <w:rFonts w:cs="Arial"/>
          <w:sz w:val="24"/>
          <w:szCs w:val="24"/>
        </w:rPr>
        <w:t xml:space="preserve"> </w:t>
      </w:r>
    </w:p>
    <w:p w:rsidR="009466C0" w:rsidRDefault="009466C0" w:rsidP="00CE08DE">
      <w:pPr>
        <w:pStyle w:val="Number"/>
        <w:tabs>
          <w:tab w:val="clear" w:pos="360"/>
        </w:tabs>
        <w:spacing w:before="0"/>
        <w:rPr>
          <w:sz w:val="24"/>
          <w:szCs w:val="24"/>
        </w:rPr>
      </w:pPr>
    </w:p>
    <w:p w:rsidR="00CE08DE" w:rsidRPr="00CE08DE" w:rsidRDefault="0037513D" w:rsidP="00CE08DE">
      <w:pPr>
        <w:pStyle w:val="Heading3"/>
        <w:spacing w:before="0"/>
      </w:pPr>
      <w:r>
        <w:t>5</w:t>
      </w:r>
      <w:r w:rsidR="009466C0">
        <w:t>.3</w:t>
      </w:r>
      <w:r w:rsidR="009466C0">
        <w:tab/>
      </w:r>
      <w:r w:rsidR="009466C0" w:rsidRPr="004E2D85">
        <w:t xml:space="preserve">Current responses </w:t>
      </w:r>
    </w:p>
    <w:p w:rsidR="00CE08DE" w:rsidRDefault="00CE08DE" w:rsidP="00CE08DE">
      <w:pPr>
        <w:pStyle w:val="Number"/>
        <w:keepNext/>
        <w:tabs>
          <w:tab w:val="clear" w:pos="360"/>
        </w:tabs>
        <w:spacing w:before="0"/>
        <w:rPr>
          <w:rFonts w:cs="Arial"/>
          <w:sz w:val="24"/>
          <w:szCs w:val="24"/>
        </w:rPr>
      </w:pPr>
    </w:p>
    <w:p w:rsidR="009466C0" w:rsidRDefault="009466C0" w:rsidP="00CE08DE">
      <w:pPr>
        <w:pStyle w:val="Number"/>
        <w:keepNext/>
        <w:tabs>
          <w:tab w:val="clear" w:pos="360"/>
        </w:tabs>
        <w:spacing w:before="0"/>
        <w:rPr>
          <w:sz w:val="24"/>
          <w:szCs w:val="24"/>
        </w:rPr>
      </w:pPr>
      <w:r>
        <w:rPr>
          <w:rFonts w:cs="Arial"/>
          <w:sz w:val="24"/>
          <w:szCs w:val="24"/>
        </w:rPr>
        <w:t xml:space="preserve">There are no other national-level definitions of audit and observational research that can help to guide researchers. The </w:t>
      </w:r>
      <w:r w:rsidRPr="00895D35">
        <w:rPr>
          <w:sz w:val="24"/>
          <w:szCs w:val="24"/>
        </w:rPr>
        <w:t>Code of Health and Disability Services Consumers’ Rights 1996</w:t>
      </w:r>
      <w:r>
        <w:rPr>
          <w:sz w:val="24"/>
          <w:szCs w:val="24"/>
        </w:rPr>
        <w:t xml:space="preserve"> makes a distinction between research and external audit or evaluation of services but does not define these terms.  </w:t>
      </w:r>
    </w:p>
    <w:p w:rsidR="00CE08DE" w:rsidRDefault="00CE08DE" w:rsidP="00CE08DE">
      <w:pPr>
        <w:pStyle w:val="Number"/>
        <w:keepNext/>
        <w:tabs>
          <w:tab w:val="clear" w:pos="360"/>
        </w:tabs>
        <w:spacing w:before="0"/>
        <w:rPr>
          <w:rFonts w:cs="Arial"/>
          <w:sz w:val="24"/>
          <w:szCs w:val="24"/>
        </w:rPr>
      </w:pPr>
    </w:p>
    <w:p w:rsidR="009466C0" w:rsidRDefault="009466C0" w:rsidP="00CE08DE">
      <w:pPr>
        <w:pStyle w:val="Number"/>
        <w:keepNext/>
        <w:tabs>
          <w:tab w:val="clear" w:pos="360"/>
        </w:tabs>
        <w:spacing w:before="0"/>
        <w:rPr>
          <w:rFonts w:cs="Arial"/>
          <w:sz w:val="24"/>
          <w:szCs w:val="24"/>
        </w:rPr>
      </w:pPr>
      <w:r w:rsidRPr="00CE08DE">
        <w:rPr>
          <w:rFonts w:cs="Arial"/>
          <w:sz w:val="24"/>
          <w:szCs w:val="24"/>
        </w:rPr>
        <w:t xml:space="preserve">The Ministry’s HDEC secretariat </w:t>
      </w:r>
      <w:r w:rsidR="00BA3B09">
        <w:rPr>
          <w:rFonts w:cs="Arial"/>
          <w:sz w:val="24"/>
          <w:szCs w:val="24"/>
        </w:rPr>
        <w:t>is available to provide</w:t>
      </w:r>
      <w:r w:rsidRPr="00CE08DE">
        <w:rPr>
          <w:rFonts w:cs="Arial"/>
          <w:sz w:val="24"/>
          <w:szCs w:val="24"/>
        </w:rPr>
        <w:t xml:space="preserve"> assistance to researchers to help determine which activities are classified as audit and therefore do not require HDEC review but there is limited capacity for this level of individual assistance.</w:t>
      </w:r>
      <w:r>
        <w:rPr>
          <w:rFonts w:cs="Arial"/>
          <w:sz w:val="24"/>
          <w:szCs w:val="24"/>
        </w:rPr>
        <w:t xml:space="preserve"> </w:t>
      </w:r>
    </w:p>
    <w:p w:rsidR="00CE08DE" w:rsidRDefault="00CE08DE" w:rsidP="00CE08DE">
      <w:pPr>
        <w:pStyle w:val="Number"/>
        <w:keepNext/>
        <w:tabs>
          <w:tab w:val="clear" w:pos="360"/>
        </w:tabs>
        <w:spacing w:before="0"/>
        <w:rPr>
          <w:rFonts w:cs="Arial"/>
          <w:sz w:val="24"/>
          <w:szCs w:val="24"/>
        </w:rPr>
      </w:pPr>
    </w:p>
    <w:p w:rsidR="009466C0" w:rsidRPr="007B26F2" w:rsidRDefault="00FE7DAA" w:rsidP="00CE08DE">
      <w:pPr>
        <w:pStyle w:val="Number"/>
        <w:keepNext/>
        <w:tabs>
          <w:tab w:val="clear" w:pos="360"/>
        </w:tabs>
        <w:spacing w:before="0"/>
        <w:rPr>
          <w:rFonts w:cs="Arial"/>
          <w:sz w:val="24"/>
          <w:szCs w:val="24"/>
          <w:highlight w:val="yellow"/>
        </w:rPr>
      </w:pPr>
      <w:r>
        <w:rPr>
          <w:rFonts w:cs="Arial"/>
          <w:sz w:val="24"/>
          <w:szCs w:val="24"/>
        </w:rPr>
        <w:t xml:space="preserve">Similarly, the </w:t>
      </w:r>
      <w:proofErr w:type="spellStart"/>
      <w:r>
        <w:rPr>
          <w:rFonts w:cs="Arial"/>
          <w:sz w:val="24"/>
          <w:szCs w:val="24"/>
        </w:rPr>
        <w:t>Awhina</w:t>
      </w:r>
      <w:proofErr w:type="spellEnd"/>
      <w:r>
        <w:rPr>
          <w:rFonts w:cs="Arial"/>
          <w:sz w:val="24"/>
          <w:szCs w:val="24"/>
        </w:rPr>
        <w:t xml:space="preserve"> Research and Knowledge Centre</w:t>
      </w:r>
      <w:r w:rsidR="00CE08DE">
        <w:rPr>
          <w:rFonts w:cs="Arial"/>
          <w:sz w:val="24"/>
          <w:szCs w:val="24"/>
        </w:rPr>
        <w:t xml:space="preserve"> at </w:t>
      </w:r>
      <w:proofErr w:type="spellStart"/>
      <w:r>
        <w:rPr>
          <w:rFonts w:cs="Arial"/>
          <w:sz w:val="24"/>
          <w:szCs w:val="24"/>
        </w:rPr>
        <w:t>Waitemata</w:t>
      </w:r>
      <w:proofErr w:type="spellEnd"/>
      <w:r>
        <w:rPr>
          <w:rFonts w:cs="Arial"/>
          <w:sz w:val="24"/>
          <w:szCs w:val="24"/>
        </w:rPr>
        <w:t xml:space="preserve"> DHB </w:t>
      </w:r>
      <w:proofErr w:type="gramStart"/>
      <w:r>
        <w:rPr>
          <w:rFonts w:cs="Arial"/>
          <w:sz w:val="24"/>
          <w:szCs w:val="24"/>
        </w:rPr>
        <w:t>provides</w:t>
      </w:r>
      <w:proofErr w:type="gramEnd"/>
      <w:r>
        <w:rPr>
          <w:rFonts w:cs="Arial"/>
          <w:sz w:val="24"/>
          <w:szCs w:val="24"/>
        </w:rPr>
        <w:t xml:space="preserve"> assistance to researchers where there is uncertainty about how their research should be classified. The Centre indicates that this is not infrequent and questions often arise whe</w:t>
      </w:r>
      <w:r w:rsidR="0081027D">
        <w:rPr>
          <w:rFonts w:cs="Arial"/>
          <w:sz w:val="24"/>
          <w:szCs w:val="24"/>
        </w:rPr>
        <w:t>n</w:t>
      </w:r>
      <w:r>
        <w:rPr>
          <w:rFonts w:cs="Arial"/>
          <w:sz w:val="24"/>
          <w:szCs w:val="24"/>
        </w:rPr>
        <w:t xml:space="preserve"> new information is being collected or data held by other organisations </w:t>
      </w:r>
      <w:r w:rsidR="00C24A5C">
        <w:rPr>
          <w:rFonts w:cs="Arial"/>
          <w:sz w:val="24"/>
          <w:szCs w:val="24"/>
        </w:rPr>
        <w:t>are</w:t>
      </w:r>
      <w:r>
        <w:rPr>
          <w:rFonts w:cs="Arial"/>
          <w:sz w:val="24"/>
          <w:szCs w:val="24"/>
        </w:rPr>
        <w:t xml:space="preserve"> being combined with data held by </w:t>
      </w:r>
      <w:proofErr w:type="spellStart"/>
      <w:r>
        <w:rPr>
          <w:rFonts w:cs="Arial"/>
          <w:sz w:val="24"/>
          <w:szCs w:val="24"/>
        </w:rPr>
        <w:t>Waitemata</w:t>
      </w:r>
      <w:proofErr w:type="spellEnd"/>
      <w:r>
        <w:rPr>
          <w:rFonts w:cs="Arial"/>
          <w:sz w:val="24"/>
          <w:szCs w:val="24"/>
        </w:rPr>
        <w:t xml:space="preserve"> DHB.  </w:t>
      </w:r>
    </w:p>
    <w:p w:rsidR="009466C0" w:rsidRPr="00FE7DAA" w:rsidRDefault="009466C0" w:rsidP="00CE08DE">
      <w:pPr>
        <w:autoSpaceDE w:val="0"/>
        <w:autoSpaceDN w:val="0"/>
        <w:adjustRightInd w:val="0"/>
        <w:spacing w:after="0" w:line="240" w:lineRule="auto"/>
        <w:rPr>
          <w:rFonts w:cs="Arial"/>
          <w:szCs w:val="24"/>
        </w:rPr>
      </w:pPr>
    </w:p>
    <w:p w:rsidR="009466C0" w:rsidRPr="00BF516A" w:rsidRDefault="0037513D" w:rsidP="00CE08DE">
      <w:pPr>
        <w:pStyle w:val="Heading3"/>
        <w:spacing w:before="0"/>
      </w:pPr>
      <w:r>
        <w:t>5</w:t>
      </w:r>
      <w:r w:rsidR="009466C0">
        <w:t>.4</w:t>
      </w:r>
      <w:r w:rsidR="009466C0">
        <w:tab/>
      </w:r>
      <w:r w:rsidR="009466C0" w:rsidRPr="004E2D85">
        <w:t xml:space="preserve">Other possible responses </w:t>
      </w:r>
    </w:p>
    <w:p w:rsidR="009466C0" w:rsidRPr="00EA077F" w:rsidRDefault="009466C0" w:rsidP="00CE08DE">
      <w:pPr>
        <w:autoSpaceDE w:val="0"/>
        <w:autoSpaceDN w:val="0"/>
        <w:adjustRightInd w:val="0"/>
        <w:spacing w:after="0" w:line="240" w:lineRule="auto"/>
        <w:rPr>
          <w:rFonts w:cs="Arial"/>
          <w:szCs w:val="24"/>
        </w:rPr>
      </w:pPr>
    </w:p>
    <w:p w:rsidR="009466C0" w:rsidRPr="007B4B6C" w:rsidRDefault="009466C0" w:rsidP="00CE08DE">
      <w:pPr>
        <w:pStyle w:val="Heading3"/>
        <w:spacing w:before="0"/>
      </w:pPr>
      <w:r>
        <w:t>Clarify distinction between audit and observational research</w:t>
      </w:r>
    </w:p>
    <w:p w:rsidR="009466C0" w:rsidRDefault="009466C0" w:rsidP="00CE08DE">
      <w:pPr>
        <w:autoSpaceDE w:val="0"/>
        <w:autoSpaceDN w:val="0"/>
        <w:adjustRightInd w:val="0"/>
        <w:spacing w:after="0" w:line="240" w:lineRule="auto"/>
        <w:rPr>
          <w:rFonts w:cs="Arial"/>
          <w:szCs w:val="24"/>
        </w:rPr>
      </w:pPr>
    </w:p>
    <w:p w:rsidR="009466C0" w:rsidRDefault="009466C0" w:rsidP="00CE08DE">
      <w:pPr>
        <w:autoSpaceDE w:val="0"/>
        <w:autoSpaceDN w:val="0"/>
        <w:adjustRightInd w:val="0"/>
        <w:spacing w:after="0" w:line="240" w:lineRule="auto"/>
        <w:rPr>
          <w:rFonts w:cs="Arial"/>
          <w:szCs w:val="24"/>
        </w:rPr>
      </w:pPr>
      <w:r w:rsidRPr="00BF516A">
        <w:rPr>
          <w:rFonts w:cs="Arial"/>
          <w:szCs w:val="24"/>
        </w:rPr>
        <w:t xml:space="preserve">NEAC could review the definitions of audit and audit-related </w:t>
      </w:r>
      <w:r>
        <w:rPr>
          <w:rFonts w:cs="Arial"/>
          <w:szCs w:val="24"/>
        </w:rPr>
        <w:t xml:space="preserve">activity in its review of </w:t>
      </w:r>
      <w:r w:rsidRPr="003B38AD">
        <w:rPr>
          <w:i/>
          <w:szCs w:val="24"/>
        </w:rPr>
        <w:t>Ethical Guidelines for Observational Studies</w:t>
      </w:r>
      <w:r w:rsidR="00CE08DE">
        <w:rPr>
          <w:i/>
          <w:szCs w:val="24"/>
        </w:rPr>
        <w:t>.</w:t>
      </w:r>
      <w:r>
        <w:rPr>
          <w:rFonts w:cs="Arial"/>
          <w:szCs w:val="24"/>
        </w:rPr>
        <w:t xml:space="preserve"> Feedback suggests that, in practice, a distinction based on purpose is arbitrary and not helpful for determining need for ethical review. Other factors may be more critical.  </w:t>
      </w:r>
    </w:p>
    <w:p w:rsidR="009466C0" w:rsidRDefault="009466C0" w:rsidP="00CE08DE">
      <w:pPr>
        <w:autoSpaceDE w:val="0"/>
        <w:autoSpaceDN w:val="0"/>
        <w:adjustRightInd w:val="0"/>
        <w:spacing w:after="0" w:line="240" w:lineRule="auto"/>
        <w:rPr>
          <w:rFonts w:cs="Arial"/>
          <w:szCs w:val="24"/>
        </w:rPr>
      </w:pPr>
    </w:p>
    <w:p w:rsidR="009466C0" w:rsidRDefault="009466C0" w:rsidP="00CE08DE">
      <w:pPr>
        <w:autoSpaceDE w:val="0"/>
        <w:autoSpaceDN w:val="0"/>
        <w:adjustRightInd w:val="0"/>
        <w:spacing w:after="0" w:line="240" w:lineRule="auto"/>
        <w:rPr>
          <w:rFonts w:cs="Arial"/>
          <w:szCs w:val="24"/>
        </w:rPr>
      </w:pPr>
      <w:r>
        <w:rPr>
          <w:rFonts w:cs="Arial"/>
          <w:szCs w:val="24"/>
        </w:rPr>
        <w:t>For example, the NEAC guidelines distinguish between case studies (a type of observational research) and outcome analysis (a type of audit) on the basis of the purpose or intent of the activity. However, both activities involve access to (usually identifiable) information for a secondary purpose to which it was originally collected and so both meet the minimal risk threshold for review, but only case studies are subjected to HDEC review (because it is observational</w:t>
      </w:r>
      <w:r w:rsidR="00CE08DE">
        <w:rPr>
          <w:rFonts w:cs="Arial"/>
          <w:szCs w:val="24"/>
        </w:rPr>
        <w:t xml:space="preserve"> research and is able to meet the criteria for review</w:t>
      </w:r>
      <w:r>
        <w:rPr>
          <w:rFonts w:cs="Arial"/>
          <w:szCs w:val="24"/>
        </w:rPr>
        <w:t xml:space="preserve">). </w:t>
      </w:r>
    </w:p>
    <w:p w:rsidR="009466C0" w:rsidRPr="00D077CA" w:rsidRDefault="009466C0" w:rsidP="00CE08DE">
      <w:pPr>
        <w:autoSpaceDE w:val="0"/>
        <w:autoSpaceDN w:val="0"/>
        <w:adjustRightInd w:val="0"/>
        <w:spacing w:after="0" w:line="240" w:lineRule="auto"/>
        <w:rPr>
          <w:rFonts w:cs="Arial"/>
          <w:b/>
          <w:szCs w:val="24"/>
        </w:rPr>
      </w:pPr>
    </w:p>
    <w:p w:rsidR="009466C0" w:rsidRPr="00BC0835" w:rsidRDefault="009466C0" w:rsidP="00CE08DE">
      <w:pPr>
        <w:autoSpaceDE w:val="0"/>
        <w:autoSpaceDN w:val="0"/>
        <w:adjustRightInd w:val="0"/>
        <w:spacing w:after="0" w:line="240" w:lineRule="auto"/>
        <w:rPr>
          <w:rFonts w:cs="Arial"/>
          <w:szCs w:val="24"/>
        </w:rPr>
      </w:pPr>
      <w:r>
        <w:rPr>
          <w:rFonts w:cs="Arial"/>
          <w:szCs w:val="24"/>
        </w:rPr>
        <w:t xml:space="preserve">The UK’s National Research Ethics Service sets out four criteria to help distinguish between research and audit – intent, use of an intervention, allocation of treatment and randomisation. However these criteria focus on clinical research as opposed to observational research. </w:t>
      </w:r>
      <w:r>
        <w:rPr>
          <w:rFonts w:ascii="ArialMT-Maori" w:hAnsi="ArialMT-Maori" w:cs="ArialMT-Maori"/>
          <w:szCs w:val="24"/>
        </w:rPr>
        <w:t>Some institutional review boards in the United States define research according to whether the results will be publishable. It is argued, however, that this criterion is inappropriate, because journals regularly publish reports about audit activities (</w:t>
      </w:r>
      <w:proofErr w:type="spellStart"/>
      <w:r>
        <w:rPr>
          <w:rFonts w:ascii="ArialMT-Maori" w:hAnsi="ArialMT-Maori" w:cs="ArialMT-Maori"/>
          <w:szCs w:val="24"/>
        </w:rPr>
        <w:t>Ogrinc</w:t>
      </w:r>
      <w:proofErr w:type="spellEnd"/>
      <w:r w:rsidR="00CE08DE">
        <w:rPr>
          <w:rFonts w:ascii="ArialMT-Maori" w:hAnsi="ArialMT-Maori" w:cs="ArialMT-Maori"/>
          <w:szCs w:val="24"/>
        </w:rPr>
        <w:t>, Nelson, Adams, &amp; O’Hara</w:t>
      </w:r>
      <w:r>
        <w:rPr>
          <w:rFonts w:ascii="ArialMT-Maori" w:hAnsi="ArialMT-Maori" w:cs="ArialMT-Maori"/>
          <w:szCs w:val="24"/>
        </w:rPr>
        <w:t>, 2013).</w:t>
      </w:r>
      <w:r>
        <w:rPr>
          <w:rStyle w:val="FootnoteReference"/>
          <w:rFonts w:ascii="ArialMT-Maori" w:hAnsi="ArialMT-Maori" w:cs="ArialMT-Maori"/>
          <w:szCs w:val="24"/>
        </w:rPr>
        <w:footnoteReference w:id="17"/>
      </w:r>
      <w:r>
        <w:rPr>
          <w:rFonts w:ascii="ArialMT-Maori" w:hAnsi="ArialMT-Maori" w:cs="ArialMT-Maori"/>
          <w:szCs w:val="24"/>
        </w:rPr>
        <w:t xml:space="preserve"> </w:t>
      </w:r>
    </w:p>
    <w:p w:rsidR="009466C0" w:rsidRDefault="009466C0" w:rsidP="00CE08DE">
      <w:pPr>
        <w:autoSpaceDE w:val="0"/>
        <w:autoSpaceDN w:val="0"/>
        <w:adjustRightInd w:val="0"/>
        <w:spacing w:after="0" w:line="240" w:lineRule="auto"/>
        <w:rPr>
          <w:rFonts w:cs="Arial"/>
          <w:szCs w:val="24"/>
        </w:rPr>
      </w:pPr>
    </w:p>
    <w:p w:rsidR="009466C0" w:rsidRDefault="009466C0" w:rsidP="00CE08DE">
      <w:pPr>
        <w:autoSpaceDE w:val="0"/>
        <w:autoSpaceDN w:val="0"/>
        <w:adjustRightInd w:val="0"/>
        <w:spacing w:after="0" w:line="240" w:lineRule="auto"/>
        <w:rPr>
          <w:rFonts w:cs="Arial"/>
          <w:szCs w:val="24"/>
        </w:rPr>
      </w:pPr>
      <w:proofErr w:type="spellStart"/>
      <w:r w:rsidRPr="00257282">
        <w:rPr>
          <w:rFonts w:cs="Arial"/>
          <w:szCs w:val="24"/>
        </w:rPr>
        <w:t>Ogrinc</w:t>
      </w:r>
      <w:proofErr w:type="spellEnd"/>
      <w:r w:rsidRPr="00257282">
        <w:rPr>
          <w:rFonts w:cs="Arial"/>
          <w:szCs w:val="24"/>
        </w:rPr>
        <w:t xml:space="preserve"> et al (2013) </w:t>
      </w:r>
      <w:r>
        <w:rPr>
          <w:rFonts w:cs="Arial"/>
          <w:szCs w:val="24"/>
        </w:rPr>
        <w:t>have developed and tested a</w:t>
      </w:r>
      <w:r w:rsidRPr="00257282">
        <w:rPr>
          <w:rFonts w:cs="Arial"/>
          <w:szCs w:val="24"/>
        </w:rPr>
        <w:t xml:space="preserve"> checklist instrument to distinguish between </w:t>
      </w:r>
      <w:r>
        <w:rPr>
          <w:rFonts w:cs="Arial"/>
          <w:szCs w:val="24"/>
        </w:rPr>
        <w:t>quality improvement</w:t>
      </w:r>
      <w:r w:rsidRPr="00257282">
        <w:rPr>
          <w:rFonts w:cs="Arial"/>
          <w:szCs w:val="24"/>
        </w:rPr>
        <w:t xml:space="preserve"> and </w:t>
      </w:r>
      <w:r>
        <w:rPr>
          <w:rFonts w:cs="Arial"/>
          <w:szCs w:val="24"/>
        </w:rPr>
        <w:t xml:space="preserve">clinical </w:t>
      </w:r>
      <w:r w:rsidRPr="00257282">
        <w:rPr>
          <w:rFonts w:cs="Arial"/>
          <w:szCs w:val="24"/>
        </w:rPr>
        <w:t>research</w:t>
      </w:r>
      <w:r>
        <w:rPr>
          <w:rFonts w:cs="Arial"/>
          <w:szCs w:val="24"/>
        </w:rPr>
        <w:t xml:space="preserve"> (including qualitative research), including whether any quality improvement activity includes aspects of research and warrants ethical review</w:t>
      </w:r>
      <w:r w:rsidRPr="00257282">
        <w:rPr>
          <w:rFonts w:cs="Arial"/>
          <w:szCs w:val="24"/>
        </w:rPr>
        <w:t xml:space="preserve">. </w:t>
      </w:r>
      <w:r>
        <w:rPr>
          <w:rFonts w:cs="Arial"/>
          <w:szCs w:val="24"/>
        </w:rPr>
        <w:t>S</w:t>
      </w:r>
      <w:r w:rsidRPr="00257282">
        <w:rPr>
          <w:rFonts w:cs="Arial"/>
          <w:szCs w:val="24"/>
        </w:rPr>
        <w:t>ix key attributes help distinguish between aud</w:t>
      </w:r>
      <w:r>
        <w:rPr>
          <w:rFonts w:cs="Arial"/>
          <w:szCs w:val="24"/>
        </w:rPr>
        <w:t xml:space="preserve">it and research: </w:t>
      </w:r>
    </w:p>
    <w:p w:rsidR="00CE08DE" w:rsidRDefault="00CE08DE" w:rsidP="00CE08DE">
      <w:pPr>
        <w:autoSpaceDE w:val="0"/>
        <w:autoSpaceDN w:val="0"/>
        <w:adjustRightInd w:val="0"/>
        <w:spacing w:after="0" w:line="240" w:lineRule="auto"/>
        <w:rPr>
          <w:rFonts w:cs="Arial"/>
          <w:szCs w:val="24"/>
        </w:rPr>
      </w:pPr>
    </w:p>
    <w:p w:rsidR="009466C0" w:rsidRDefault="009466C0" w:rsidP="002031BD">
      <w:pPr>
        <w:pStyle w:val="ListParagraph"/>
        <w:numPr>
          <w:ilvl w:val="0"/>
          <w:numId w:val="25"/>
        </w:numPr>
        <w:autoSpaceDE w:val="0"/>
        <w:autoSpaceDN w:val="0"/>
        <w:adjustRightInd w:val="0"/>
        <w:spacing w:after="60" w:line="240" w:lineRule="auto"/>
        <w:ind w:left="714" w:hanging="357"/>
        <w:contextualSpacing w:val="0"/>
        <w:rPr>
          <w:rFonts w:cs="Arial"/>
          <w:szCs w:val="24"/>
        </w:rPr>
      </w:pPr>
      <w:r w:rsidRPr="00311110">
        <w:rPr>
          <w:rFonts w:cs="Arial"/>
          <w:szCs w:val="24"/>
        </w:rPr>
        <w:t>i</w:t>
      </w:r>
      <w:r>
        <w:rPr>
          <w:rFonts w:cs="Arial"/>
          <w:szCs w:val="24"/>
        </w:rPr>
        <w:t xml:space="preserve">ntent </w:t>
      </w:r>
    </w:p>
    <w:p w:rsidR="009466C0" w:rsidRDefault="009466C0" w:rsidP="002031BD">
      <w:pPr>
        <w:pStyle w:val="ListParagraph"/>
        <w:numPr>
          <w:ilvl w:val="0"/>
          <w:numId w:val="25"/>
        </w:numPr>
        <w:autoSpaceDE w:val="0"/>
        <w:autoSpaceDN w:val="0"/>
        <w:adjustRightInd w:val="0"/>
        <w:spacing w:after="60" w:line="240" w:lineRule="auto"/>
        <w:ind w:left="714" w:hanging="357"/>
        <w:contextualSpacing w:val="0"/>
        <w:rPr>
          <w:rFonts w:cs="Arial"/>
          <w:szCs w:val="24"/>
        </w:rPr>
      </w:pPr>
      <w:r>
        <w:rPr>
          <w:rFonts w:cs="Arial"/>
          <w:szCs w:val="24"/>
        </w:rPr>
        <w:t>methods</w:t>
      </w:r>
    </w:p>
    <w:p w:rsidR="009466C0" w:rsidRDefault="009466C0" w:rsidP="002031BD">
      <w:pPr>
        <w:pStyle w:val="ListParagraph"/>
        <w:numPr>
          <w:ilvl w:val="0"/>
          <w:numId w:val="25"/>
        </w:numPr>
        <w:autoSpaceDE w:val="0"/>
        <w:autoSpaceDN w:val="0"/>
        <w:adjustRightInd w:val="0"/>
        <w:spacing w:after="60" w:line="240" w:lineRule="auto"/>
        <w:ind w:left="714" w:hanging="357"/>
        <w:contextualSpacing w:val="0"/>
        <w:rPr>
          <w:rFonts w:cs="Arial"/>
          <w:szCs w:val="24"/>
        </w:rPr>
      </w:pPr>
      <w:r>
        <w:rPr>
          <w:rFonts w:cs="Arial"/>
          <w:szCs w:val="24"/>
        </w:rPr>
        <w:t>intended benefits</w:t>
      </w:r>
    </w:p>
    <w:p w:rsidR="009466C0" w:rsidRDefault="009466C0" w:rsidP="002031BD">
      <w:pPr>
        <w:pStyle w:val="ListParagraph"/>
        <w:numPr>
          <w:ilvl w:val="0"/>
          <w:numId w:val="25"/>
        </w:numPr>
        <w:autoSpaceDE w:val="0"/>
        <w:autoSpaceDN w:val="0"/>
        <w:adjustRightInd w:val="0"/>
        <w:spacing w:after="60" w:line="240" w:lineRule="auto"/>
        <w:ind w:left="714" w:hanging="357"/>
        <w:contextualSpacing w:val="0"/>
        <w:rPr>
          <w:rFonts w:cs="Arial"/>
          <w:szCs w:val="24"/>
        </w:rPr>
      </w:pPr>
      <w:r>
        <w:rPr>
          <w:rFonts w:cs="Arial"/>
          <w:szCs w:val="24"/>
        </w:rPr>
        <w:t>risk</w:t>
      </w:r>
    </w:p>
    <w:p w:rsidR="009466C0" w:rsidRDefault="009466C0" w:rsidP="002031BD">
      <w:pPr>
        <w:pStyle w:val="ListParagraph"/>
        <w:numPr>
          <w:ilvl w:val="0"/>
          <w:numId w:val="25"/>
        </w:numPr>
        <w:autoSpaceDE w:val="0"/>
        <w:autoSpaceDN w:val="0"/>
        <w:adjustRightInd w:val="0"/>
        <w:spacing w:after="60" w:line="240" w:lineRule="auto"/>
        <w:ind w:left="714" w:hanging="357"/>
        <w:contextualSpacing w:val="0"/>
        <w:rPr>
          <w:rFonts w:cs="Arial"/>
          <w:szCs w:val="24"/>
        </w:rPr>
      </w:pPr>
      <w:r>
        <w:rPr>
          <w:rFonts w:cs="Arial"/>
          <w:szCs w:val="24"/>
        </w:rPr>
        <w:t>applicability of results</w:t>
      </w:r>
    </w:p>
    <w:p w:rsidR="009466C0" w:rsidRDefault="009466C0" w:rsidP="002031BD">
      <w:pPr>
        <w:pStyle w:val="ListParagraph"/>
        <w:numPr>
          <w:ilvl w:val="0"/>
          <w:numId w:val="25"/>
        </w:numPr>
        <w:autoSpaceDE w:val="0"/>
        <w:autoSpaceDN w:val="0"/>
        <w:adjustRightInd w:val="0"/>
        <w:spacing w:after="60" w:line="240" w:lineRule="auto"/>
        <w:ind w:left="714" w:hanging="357"/>
        <w:contextualSpacing w:val="0"/>
        <w:rPr>
          <w:rFonts w:cs="Arial"/>
          <w:szCs w:val="24"/>
        </w:rPr>
      </w:pPr>
      <w:proofErr w:type="gramStart"/>
      <w:r w:rsidRPr="00311110">
        <w:rPr>
          <w:rFonts w:cs="Arial"/>
          <w:szCs w:val="24"/>
        </w:rPr>
        <w:t>sharing</w:t>
      </w:r>
      <w:proofErr w:type="gramEnd"/>
      <w:r w:rsidRPr="00311110">
        <w:rPr>
          <w:rFonts w:cs="Arial"/>
          <w:szCs w:val="24"/>
        </w:rPr>
        <w:t xml:space="preserve"> and disseminating results. </w:t>
      </w:r>
    </w:p>
    <w:p w:rsidR="009466C0" w:rsidRDefault="009466C0" w:rsidP="00CE08DE">
      <w:pPr>
        <w:autoSpaceDE w:val="0"/>
        <w:autoSpaceDN w:val="0"/>
        <w:adjustRightInd w:val="0"/>
        <w:spacing w:after="0" w:line="240" w:lineRule="auto"/>
        <w:rPr>
          <w:rFonts w:cs="Arial"/>
          <w:szCs w:val="24"/>
        </w:rPr>
      </w:pPr>
    </w:p>
    <w:p w:rsidR="009466C0" w:rsidRDefault="009466C0" w:rsidP="00CE08DE">
      <w:pPr>
        <w:spacing w:after="0" w:line="240" w:lineRule="auto"/>
      </w:pPr>
      <w:r w:rsidRPr="00257282">
        <w:t xml:space="preserve">Pilot testing of the instrument found that it was capable of clearly differentiating between audit and clinical research activities for proposals previously submitted to an </w:t>
      </w:r>
      <w:r>
        <w:t>ethics committee</w:t>
      </w:r>
      <w:r w:rsidRPr="00257282">
        <w:t>.</w:t>
      </w:r>
      <w:r>
        <w:t xml:space="preserve"> </w:t>
      </w:r>
    </w:p>
    <w:p w:rsidR="009466C0" w:rsidRDefault="009466C0" w:rsidP="00CE08DE">
      <w:pPr>
        <w:spacing w:after="0" w:line="240" w:lineRule="auto"/>
      </w:pPr>
    </w:p>
    <w:p w:rsidR="009466C0" w:rsidRDefault="009466C0" w:rsidP="00CE08DE">
      <w:pPr>
        <w:pStyle w:val="Heading3"/>
        <w:spacing w:before="0" w:line="240" w:lineRule="auto"/>
      </w:pPr>
      <w:r>
        <w:t xml:space="preserve">Introduce a risk assessment approach for audit and related activity </w:t>
      </w:r>
    </w:p>
    <w:p w:rsidR="009466C0" w:rsidRDefault="009466C0" w:rsidP="00CE08DE">
      <w:pPr>
        <w:spacing w:after="0" w:line="240" w:lineRule="auto"/>
      </w:pPr>
    </w:p>
    <w:p w:rsidR="009466C0" w:rsidRDefault="009466C0" w:rsidP="00CE08DE">
      <w:pPr>
        <w:spacing w:after="0" w:line="240" w:lineRule="auto"/>
      </w:pPr>
      <w:r>
        <w:rPr>
          <w:rFonts w:cs="Arial"/>
          <w:szCs w:val="24"/>
        </w:rPr>
        <w:t>Alternatively, a risk assessment approach could be used to help determine whether or not ethical review is required for audit and related activity</w:t>
      </w:r>
      <w:r w:rsidRPr="00C4764D">
        <w:rPr>
          <w:rFonts w:cs="Arial"/>
          <w:szCs w:val="24"/>
        </w:rPr>
        <w:t xml:space="preserve">. </w:t>
      </w:r>
      <w:r>
        <w:rPr>
          <w:szCs w:val="24"/>
        </w:rPr>
        <w:t xml:space="preserve">Where </w:t>
      </w:r>
      <w:r>
        <w:t xml:space="preserve">audit or a related activity </w:t>
      </w:r>
      <w:r w:rsidR="00CE08DE">
        <w:t xml:space="preserve">is </w:t>
      </w:r>
      <w:r>
        <w:t xml:space="preserve">classified as more than minimal risk, it could either: </w:t>
      </w:r>
    </w:p>
    <w:p w:rsidR="00CE08DE" w:rsidRDefault="00CE08DE" w:rsidP="00CE08DE">
      <w:pPr>
        <w:spacing w:after="0" w:line="240" w:lineRule="auto"/>
      </w:pPr>
    </w:p>
    <w:p w:rsidR="009466C0" w:rsidRDefault="009466C0" w:rsidP="00CE08DE">
      <w:pPr>
        <w:pStyle w:val="NEACbodypara"/>
        <w:numPr>
          <w:ilvl w:val="0"/>
          <w:numId w:val="21"/>
        </w:numPr>
        <w:spacing w:before="0"/>
      </w:pPr>
      <w:r>
        <w:t>prompt the researcher to seek further advice on the classification of their study, or</w:t>
      </w:r>
    </w:p>
    <w:p w:rsidR="00CE08DE" w:rsidRDefault="00CE08DE" w:rsidP="00CE08DE">
      <w:pPr>
        <w:pStyle w:val="NEACbodypara"/>
        <w:spacing w:before="0"/>
        <w:ind w:left="720"/>
      </w:pPr>
    </w:p>
    <w:p w:rsidR="009466C0" w:rsidRDefault="009466C0" w:rsidP="00CE08DE">
      <w:pPr>
        <w:pStyle w:val="NEACbodypara"/>
        <w:numPr>
          <w:ilvl w:val="0"/>
          <w:numId w:val="21"/>
        </w:numPr>
        <w:spacing w:before="0"/>
      </w:pPr>
      <w:r>
        <w:t xml:space="preserve">trigger review by an ethics review body, such as an </w:t>
      </w:r>
      <w:r w:rsidR="00CE08DE">
        <w:t>institutional ethics committee</w:t>
      </w:r>
      <w:r>
        <w:t>, or</w:t>
      </w:r>
    </w:p>
    <w:p w:rsidR="00CE08DE" w:rsidRDefault="00CE08DE" w:rsidP="00CE08DE">
      <w:pPr>
        <w:pStyle w:val="NEACbodypara"/>
        <w:spacing w:before="0"/>
      </w:pPr>
    </w:p>
    <w:p w:rsidR="009466C0" w:rsidRDefault="009466C0" w:rsidP="00CE08DE">
      <w:pPr>
        <w:pStyle w:val="NEACbodypara"/>
        <w:numPr>
          <w:ilvl w:val="0"/>
          <w:numId w:val="21"/>
        </w:numPr>
        <w:spacing w:before="0"/>
      </w:pPr>
      <w:proofErr w:type="gramStart"/>
      <w:r>
        <w:t>trigger</w:t>
      </w:r>
      <w:proofErr w:type="gramEnd"/>
      <w:r>
        <w:t xml:space="preserve"> review by an HDEC.</w:t>
      </w:r>
    </w:p>
    <w:p w:rsidR="009466C0" w:rsidRDefault="009466C0" w:rsidP="00CE08DE">
      <w:pPr>
        <w:pStyle w:val="NEACbodypara"/>
        <w:spacing w:before="0"/>
      </w:pPr>
    </w:p>
    <w:p w:rsidR="009466C0" w:rsidRDefault="009466C0" w:rsidP="00CE08DE">
      <w:pPr>
        <w:spacing w:after="0" w:line="240" w:lineRule="auto"/>
        <w:rPr>
          <w:rFonts w:cs="Arial"/>
          <w:szCs w:val="24"/>
        </w:rPr>
      </w:pPr>
      <w:r w:rsidRPr="006041B7">
        <w:rPr>
          <w:rFonts w:cs="Arial"/>
          <w:szCs w:val="24"/>
        </w:rPr>
        <w:t xml:space="preserve">The threshold of risk would need to be clearly defined, with criteria for judging whether audit and related activity reaches the threshold. </w:t>
      </w:r>
      <w:r>
        <w:rPr>
          <w:rFonts w:cs="Arial"/>
          <w:szCs w:val="24"/>
        </w:rPr>
        <w:t xml:space="preserve">Such criteria could include: </w:t>
      </w:r>
    </w:p>
    <w:p w:rsidR="00CE08DE" w:rsidRDefault="00CE08DE" w:rsidP="00CE08DE">
      <w:pPr>
        <w:spacing w:after="0" w:line="240" w:lineRule="auto"/>
        <w:rPr>
          <w:rFonts w:cs="Arial"/>
          <w:szCs w:val="24"/>
        </w:rPr>
      </w:pPr>
    </w:p>
    <w:p w:rsidR="009466C0" w:rsidRPr="004E3292" w:rsidRDefault="009466C0" w:rsidP="002031BD">
      <w:pPr>
        <w:pStyle w:val="ListParagraph"/>
        <w:numPr>
          <w:ilvl w:val="0"/>
          <w:numId w:val="28"/>
        </w:numPr>
        <w:autoSpaceDE w:val="0"/>
        <w:autoSpaceDN w:val="0"/>
        <w:adjustRightInd w:val="0"/>
        <w:spacing w:after="60" w:line="240" w:lineRule="auto"/>
        <w:ind w:left="714" w:hanging="357"/>
        <w:contextualSpacing w:val="0"/>
        <w:rPr>
          <w:rFonts w:cs="Arial"/>
          <w:szCs w:val="24"/>
        </w:rPr>
      </w:pPr>
      <w:r w:rsidRPr="006041B7">
        <w:rPr>
          <w:rFonts w:cs="Arial"/>
          <w:szCs w:val="24"/>
        </w:rPr>
        <w:t>new or additiona</w:t>
      </w:r>
      <w:r>
        <w:rPr>
          <w:rFonts w:cs="Arial"/>
          <w:szCs w:val="24"/>
        </w:rPr>
        <w:t>l information being sought</w:t>
      </w:r>
    </w:p>
    <w:p w:rsidR="009466C0" w:rsidRPr="004E3292" w:rsidRDefault="009466C0" w:rsidP="002031BD">
      <w:pPr>
        <w:pStyle w:val="ListParagraph"/>
        <w:numPr>
          <w:ilvl w:val="0"/>
          <w:numId w:val="28"/>
        </w:numPr>
        <w:autoSpaceDE w:val="0"/>
        <w:autoSpaceDN w:val="0"/>
        <w:adjustRightInd w:val="0"/>
        <w:spacing w:after="60" w:line="240" w:lineRule="auto"/>
        <w:ind w:left="714" w:hanging="357"/>
        <w:contextualSpacing w:val="0"/>
        <w:rPr>
          <w:rFonts w:cs="Arial"/>
          <w:szCs w:val="24"/>
        </w:rPr>
      </w:pPr>
      <w:r w:rsidRPr="006041B7">
        <w:rPr>
          <w:rFonts w:cs="Arial"/>
          <w:szCs w:val="24"/>
        </w:rPr>
        <w:t>the detail and level of consent previously given by a patien</w:t>
      </w:r>
      <w:r>
        <w:rPr>
          <w:rFonts w:cs="Arial"/>
          <w:szCs w:val="24"/>
        </w:rPr>
        <w:t>t</w:t>
      </w:r>
    </w:p>
    <w:p w:rsidR="009466C0" w:rsidRPr="004E3292" w:rsidRDefault="009466C0" w:rsidP="002031BD">
      <w:pPr>
        <w:pStyle w:val="ListParagraph"/>
        <w:numPr>
          <w:ilvl w:val="0"/>
          <w:numId w:val="28"/>
        </w:numPr>
        <w:autoSpaceDE w:val="0"/>
        <w:autoSpaceDN w:val="0"/>
        <w:adjustRightInd w:val="0"/>
        <w:spacing w:after="60" w:line="240" w:lineRule="auto"/>
        <w:ind w:left="714" w:hanging="357"/>
        <w:contextualSpacing w:val="0"/>
        <w:rPr>
          <w:rFonts w:cs="Arial"/>
          <w:szCs w:val="24"/>
        </w:rPr>
      </w:pPr>
      <w:r>
        <w:rPr>
          <w:rFonts w:cs="Arial"/>
          <w:szCs w:val="24"/>
        </w:rPr>
        <w:t>w</w:t>
      </w:r>
      <w:r w:rsidRPr="006041B7">
        <w:rPr>
          <w:rFonts w:cs="Arial"/>
          <w:szCs w:val="24"/>
        </w:rPr>
        <w:t>ho will have access to what level and kind of information (</w:t>
      </w:r>
      <w:proofErr w:type="spellStart"/>
      <w:r w:rsidRPr="006041B7">
        <w:rPr>
          <w:rFonts w:cs="Arial"/>
          <w:szCs w:val="24"/>
        </w:rPr>
        <w:t>eg</w:t>
      </w:r>
      <w:proofErr w:type="spellEnd"/>
      <w:r w:rsidRPr="006041B7">
        <w:rPr>
          <w:rFonts w:cs="Arial"/>
          <w:szCs w:val="24"/>
        </w:rPr>
        <w:t>, identifiable versus</w:t>
      </w:r>
      <w:r>
        <w:rPr>
          <w:rFonts w:cs="Arial"/>
          <w:szCs w:val="24"/>
        </w:rPr>
        <w:t xml:space="preserve"> encrypted or anonymised data)</w:t>
      </w:r>
    </w:p>
    <w:p w:rsidR="009466C0" w:rsidRPr="004E3292" w:rsidRDefault="009466C0" w:rsidP="002031BD">
      <w:pPr>
        <w:pStyle w:val="ListParagraph"/>
        <w:numPr>
          <w:ilvl w:val="0"/>
          <w:numId w:val="28"/>
        </w:numPr>
        <w:autoSpaceDE w:val="0"/>
        <w:autoSpaceDN w:val="0"/>
        <w:adjustRightInd w:val="0"/>
        <w:spacing w:after="60" w:line="240" w:lineRule="auto"/>
        <w:ind w:left="714" w:hanging="357"/>
        <w:contextualSpacing w:val="0"/>
        <w:rPr>
          <w:rFonts w:cs="Arial"/>
          <w:szCs w:val="24"/>
        </w:rPr>
      </w:pPr>
      <w:r>
        <w:rPr>
          <w:rFonts w:cs="Arial"/>
          <w:szCs w:val="24"/>
        </w:rPr>
        <w:t xml:space="preserve">inclusion of vulnerable people </w:t>
      </w:r>
    </w:p>
    <w:p w:rsidR="009466C0" w:rsidRPr="004E3292" w:rsidRDefault="009466C0" w:rsidP="002031BD">
      <w:pPr>
        <w:pStyle w:val="ListParagraph"/>
        <w:numPr>
          <w:ilvl w:val="0"/>
          <w:numId w:val="28"/>
        </w:numPr>
        <w:autoSpaceDE w:val="0"/>
        <w:autoSpaceDN w:val="0"/>
        <w:adjustRightInd w:val="0"/>
        <w:spacing w:after="60" w:line="240" w:lineRule="auto"/>
        <w:ind w:left="714" w:hanging="357"/>
        <w:contextualSpacing w:val="0"/>
        <w:rPr>
          <w:rFonts w:cs="Arial"/>
          <w:szCs w:val="24"/>
        </w:rPr>
      </w:pPr>
      <w:proofErr w:type="gramStart"/>
      <w:r>
        <w:rPr>
          <w:rFonts w:cs="Arial"/>
          <w:szCs w:val="24"/>
        </w:rPr>
        <w:t>the</w:t>
      </w:r>
      <w:proofErr w:type="gramEnd"/>
      <w:r>
        <w:rPr>
          <w:rFonts w:cs="Arial"/>
          <w:szCs w:val="24"/>
        </w:rPr>
        <w:t xml:space="preserve"> level of risk involved.  </w:t>
      </w:r>
    </w:p>
    <w:p w:rsidR="009466C0" w:rsidRDefault="009466C0" w:rsidP="00CE08DE">
      <w:pPr>
        <w:autoSpaceDE w:val="0"/>
        <w:autoSpaceDN w:val="0"/>
        <w:adjustRightInd w:val="0"/>
        <w:spacing w:after="0" w:line="240" w:lineRule="auto"/>
        <w:rPr>
          <w:rFonts w:cs="Arial"/>
          <w:szCs w:val="24"/>
        </w:rPr>
      </w:pPr>
    </w:p>
    <w:p w:rsidR="009466C0" w:rsidRDefault="009466C0" w:rsidP="00CE08DE">
      <w:pPr>
        <w:autoSpaceDE w:val="0"/>
        <w:autoSpaceDN w:val="0"/>
        <w:adjustRightInd w:val="0"/>
        <w:spacing w:after="0" w:line="240" w:lineRule="auto"/>
        <w:rPr>
          <w:rFonts w:cs="Arial"/>
          <w:szCs w:val="24"/>
        </w:rPr>
      </w:pPr>
      <w:r>
        <w:rPr>
          <w:rFonts w:cs="Arial"/>
          <w:szCs w:val="24"/>
        </w:rPr>
        <w:t xml:space="preserve">If review by an HDEC was a favoured option, this would require an amendment to the </w:t>
      </w:r>
      <w:r w:rsidR="00772790" w:rsidRPr="00772790">
        <w:rPr>
          <w:rFonts w:cs="Arial"/>
          <w:i/>
          <w:szCs w:val="24"/>
        </w:rPr>
        <w:t>S</w:t>
      </w:r>
      <w:r w:rsidRPr="00772790">
        <w:rPr>
          <w:i/>
          <w:szCs w:val="24"/>
        </w:rPr>
        <w:t xml:space="preserve">tandard </w:t>
      </w:r>
      <w:r w:rsidR="00772790" w:rsidRPr="00772790">
        <w:rPr>
          <w:i/>
          <w:szCs w:val="24"/>
        </w:rPr>
        <w:t>O</w:t>
      </w:r>
      <w:r w:rsidRPr="00772790">
        <w:rPr>
          <w:i/>
          <w:szCs w:val="24"/>
        </w:rPr>
        <w:t xml:space="preserve">perating </w:t>
      </w:r>
      <w:r w:rsidR="00772790" w:rsidRPr="00772790">
        <w:rPr>
          <w:i/>
          <w:szCs w:val="24"/>
        </w:rPr>
        <w:t>P</w:t>
      </w:r>
      <w:r w:rsidRPr="00772790">
        <w:rPr>
          <w:i/>
          <w:szCs w:val="24"/>
        </w:rPr>
        <w:t>rocedures</w:t>
      </w:r>
      <w:r>
        <w:rPr>
          <w:rFonts w:cs="Arial"/>
          <w:szCs w:val="24"/>
        </w:rPr>
        <w:t xml:space="preserve"> for HDECs to allow for review of audit and related activity when it meets the threshold for minimal risk. </w:t>
      </w:r>
    </w:p>
    <w:p w:rsidR="00E52C92" w:rsidRPr="00BF516A" w:rsidRDefault="00E52C92" w:rsidP="00CE08DE">
      <w:pPr>
        <w:autoSpaceDE w:val="0"/>
        <w:autoSpaceDN w:val="0"/>
        <w:adjustRightInd w:val="0"/>
        <w:spacing w:after="0" w:line="240" w:lineRule="auto"/>
        <w:rPr>
          <w:rFonts w:cs="Arial"/>
          <w:szCs w:val="24"/>
        </w:rPr>
      </w:pPr>
    </w:p>
    <w:p w:rsidR="009466C0" w:rsidRDefault="0037513D" w:rsidP="00CE08DE">
      <w:pPr>
        <w:pStyle w:val="Heading3"/>
        <w:spacing w:before="0" w:line="240" w:lineRule="auto"/>
      </w:pPr>
      <w:r>
        <w:t>5</w:t>
      </w:r>
      <w:r w:rsidR="009466C0">
        <w:t>.5</w:t>
      </w:r>
      <w:r w:rsidR="009466C0">
        <w:tab/>
      </w:r>
      <w:r w:rsidR="009466C0" w:rsidRPr="004E2D85">
        <w:t xml:space="preserve">Questions for feedback </w:t>
      </w:r>
    </w:p>
    <w:p w:rsidR="009466C0" w:rsidRPr="00DF6B69" w:rsidRDefault="009466C0" w:rsidP="00CE08DE">
      <w:pPr>
        <w:spacing w:after="0" w:line="240" w:lineRule="auto"/>
      </w:pPr>
    </w:p>
    <w:p w:rsidR="009466C0" w:rsidRDefault="004E3292" w:rsidP="00CE08DE">
      <w:pPr>
        <w:pStyle w:val="ListParagraph"/>
        <w:numPr>
          <w:ilvl w:val="0"/>
          <w:numId w:val="16"/>
        </w:numPr>
        <w:tabs>
          <w:tab w:val="left" w:pos="6075"/>
        </w:tabs>
        <w:spacing w:after="0" w:line="240" w:lineRule="auto"/>
        <w:rPr>
          <w:rFonts w:cs="Arial"/>
        </w:rPr>
      </w:pPr>
      <w:r>
        <w:rPr>
          <w:rFonts w:cs="Arial"/>
        </w:rPr>
        <w:t>Does the current classification of studies into observational research and audit or related activity act as a barrier to audit and related activity?</w:t>
      </w:r>
    </w:p>
    <w:p w:rsidR="004E3292" w:rsidRDefault="004E3292" w:rsidP="00CE08DE">
      <w:pPr>
        <w:pStyle w:val="ListParagraph"/>
        <w:tabs>
          <w:tab w:val="left" w:pos="6075"/>
        </w:tabs>
        <w:spacing w:after="0" w:line="240" w:lineRule="auto"/>
        <w:rPr>
          <w:rFonts w:cs="Arial"/>
        </w:rPr>
      </w:pPr>
    </w:p>
    <w:p w:rsidR="004E3292" w:rsidRDefault="004E3292" w:rsidP="00CE08DE">
      <w:pPr>
        <w:pStyle w:val="ListParagraph"/>
        <w:numPr>
          <w:ilvl w:val="0"/>
          <w:numId w:val="16"/>
        </w:numPr>
        <w:tabs>
          <w:tab w:val="left" w:pos="6075"/>
        </w:tabs>
        <w:spacing w:after="0" w:line="240" w:lineRule="auto"/>
        <w:rPr>
          <w:rFonts w:cs="Arial"/>
        </w:rPr>
      </w:pPr>
      <w:r>
        <w:rPr>
          <w:rFonts w:cs="Arial"/>
        </w:rPr>
        <w:t>Do you think the definition of audit could be improved, and if so, how?</w:t>
      </w:r>
    </w:p>
    <w:p w:rsidR="009466C0" w:rsidRPr="004E2D85" w:rsidRDefault="009466C0" w:rsidP="00CE08DE">
      <w:pPr>
        <w:pStyle w:val="ListParagraph"/>
        <w:tabs>
          <w:tab w:val="left" w:pos="6075"/>
        </w:tabs>
        <w:spacing w:after="0" w:line="240" w:lineRule="auto"/>
        <w:rPr>
          <w:rFonts w:cs="Arial"/>
        </w:rPr>
      </w:pPr>
    </w:p>
    <w:p w:rsidR="004E3292" w:rsidRDefault="009466C0" w:rsidP="00CE08DE">
      <w:pPr>
        <w:pStyle w:val="ListParagraph"/>
        <w:numPr>
          <w:ilvl w:val="0"/>
          <w:numId w:val="16"/>
        </w:numPr>
        <w:tabs>
          <w:tab w:val="left" w:pos="6075"/>
        </w:tabs>
        <w:spacing w:after="0" w:line="240" w:lineRule="auto"/>
        <w:rPr>
          <w:rFonts w:cs="Arial"/>
        </w:rPr>
      </w:pPr>
      <w:r w:rsidRPr="004E2D85">
        <w:rPr>
          <w:rFonts w:cs="Arial"/>
        </w:rPr>
        <w:t xml:space="preserve">How useful is it to classify </w:t>
      </w:r>
      <w:r>
        <w:rPr>
          <w:rFonts w:cs="Arial"/>
        </w:rPr>
        <w:t xml:space="preserve">studies into observational research and audit </w:t>
      </w:r>
      <w:r w:rsidRPr="004E2D85">
        <w:rPr>
          <w:rFonts w:cs="Arial"/>
        </w:rPr>
        <w:t xml:space="preserve">for the purposes of knowing whether or not ethical review is required?  </w:t>
      </w:r>
    </w:p>
    <w:p w:rsidR="004E3292" w:rsidRDefault="004E3292" w:rsidP="00CE08DE">
      <w:pPr>
        <w:pStyle w:val="ListParagraph"/>
        <w:tabs>
          <w:tab w:val="left" w:pos="6075"/>
        </w:tabs>
        <w:spacing w:after="0" w:line="240" w:lineRule="auto"/>
        <w:rPr>
          <w:rFonts w:cs="Arial"/>
        </w:rPr>
      </w:pPr>
    </w:p>
    <w:p w:rsidR="009466C0" w:rsidRPr="004E2D85" w:rsidRDefault="009466C0" w:rsidP="00CE08DE">
      <w:pPr>
        <w:pStyle w:val="ListParagraph"/>
        <w:numPr>
          <w:ilvl w:val="0"/>
          <w:numId w:val="16"/>
        </w:numPr>
        <w:tabs>
          <w:tab w:val="left" w:pos="6075"/>
        </w:tabs>
        <w:spacing w:after="0" w:line="240" w:lineRule="auto"/>
        <w:rPr>
          <w:rFonts w:cs="Arial"/>
        </w:rPr>
      </w:pPr>
      <w:r w:rsidRPr="00DF6B69">
        <w:rPr>
          <w:rFonts w:cs="Arial"/>
        </w:rPr>
        <w:t xml:space="preserve">Are there other </w:t>
      </w:r>
      <w:r>
        <w:rPr>
          <w:rFonts w:cs="Arial"/>
        </w:rPr>
        <w:t xml:space="preserve">international </w:t>
      </w:r>
      <w:r w:rsidR="004E3292">
        <w:rPr>
          <w:rFonts w:cs="Arial"/>
        </w:rPr>
        <w:t xml:space="preserve">approaches for distinguishing between research and audit that have worked </w:t>
      </w:r>
      <w:r w:rsidRPr="00DF6B69">
        <w:rPr>
          <w:rFonts w:cs="Arial"/>
        </w:rPr>
        <w:t>well?</w:t>
      </w:r>
    </w:p>
    <w:p w:rsidR="009466C0" w:rsidRPr="004E2D85" w:rsidRDefault="009466C0" w:rsidP="00CE08DE">
      <w:pPr>
        <w:pStyle w:val="ListParagraph"/>
        <w:spacing w:after="0" w:line="240" w:lineRule="auto"/>
        <w:rPr>
          <w:b/>
        </w:rPr>
      </w:pPr>
    </w:p>
    <w:p w:rsidR="009466C0" w:rsidRPr="004E2D85" w:rsidRDefault="009466C0" w:rsidP="00CE08DE">
      <w:pPr>
        <w:pStyle w:val="ListParagraph"/>
        <w:numPr>
          <w:ilvl w:val="0"/>
          <w:numId w:val="16"/>
        </w:numPr>
        <w:spacing w:after="0" w:line="240" w:lineRule="auto"/>
        <w:rPr>
          <w:b/>
        </w:rPr>
      </w:pPr>
      <w:r w:rsidRPr="004E2D85">
        <w:rPr>
          <w:rFonts w:cs="Arial"/>
        </w:rPr>
        <w:t xml:space="preserve">Could a risk assessment approach be applied to </w:t>
      </w:r>
      <w:r>
        <w:rPr>
          <w:rFonts w:cs="Arial"/>
        </w:rPr>
        <w:t>observational studies</w:t>
      </w:r>
      <w:r w:rsidRPr="004E2D85">
        <w:rPr>
          <w:rFonts w:cs="Arial"/>
        </w:rPr>
        <w:t xml:space="preserve"> when thinking about whether or not ethical review is required?</w:t>
      </w:r>
    </w:p>
    <w:p w:rsidR="009466C0" w:rsidRDefault="009466C0" w:rsidP="00CE08DE">
      <w:pPr>
        <w:spacing w:after="0" w:line="240" w:lineRule="auto"/>
        <w:rPr>
          <w:rFonts w:cs="Arial"/>
        </w:rPr>
      </w:pPr>
    </w:p>
    <w:p w:rsidR="0037513D" w:rsidRDefault="0037513D">
      <w:pPr>
        <w:rPr>
          <w:rFonts w:asciiTheme="majorHAnsi" w:eastAsiaTheme="majorEastAsia" w:hAnsiTheme="majorHAnsi" w:cs="Arial"/>
          <w:b/>
          <w:bCs/>
          <w:color w:val="4F81BD" w:themeColor="accent1"/>
          <w:sz w:val="26"/>
          <w:szCs w:val="26"/>
        </w:rPr>
      </w:pPr>
      <w:r>
        <w:rPr>
          <w:rFonts w:cs="Arial"/>
        </w:rPr>
        <w:br w:type="page"/>
      </w:r>
    </w:p>
    <w:p w:rsidR="00930417" w:rsidRPr="003B38AD" w:rsidRDefault="0037513D" w:rsidP="00CE08DE">
      <w:pPr>
        <w:pStyle w:val="Heading2"/>
        <w:spacing w:before="0" w:line="240" w:lineRule="auto"/>
      </w:pPr>
      <w:bookmarkStart w:id="25" w:name="_Toc401587739"/>
      <w:r>
        <w:t>6</w:t>
      </w:r>
      <w:r w:rsidR="00930417">
        <w:t>.</w:t>
      </w:r>
      <w:r w:rsidR="00930417" w:rsidRPr="003B38AD">
        <w:tab/>
      </w:r>
      <w:r w:rsidR="00930417">
        <w:t>Innovative practice</w:t>
      </w:r>
      <w:bookmarkEnd w:id="25"/>
    </w:p>
    <w:p w:rsidR="00CE08DE" w:rsidRPr="000250C2" w:rsidRDefault="00CE08DE" w:rsidP="000250C2">
      <w:pPr>
        <w:spacing w:after="0" w:line="240" w:lineRule="auto"/>
        <w:rPr>
          <w:rFonts w:cs="Arial"/>
        </w:rPr>
      </w:pPr>
    </w:p>
    <w:p w:rsidR="00CE08DE" w:rsidRDefault="0037513D" w:rsidP="00CE08DE">
      <w:pPr>
        <w:pStyle w:val="Heading3"/>
        <w:spacing w:before="0" w:line="240" w:lineRule="auto"/>
      </w:pPr>
      <w:r>
        <w:t>6</w:t>
      </w:r>
      <w:r w:rsidR="00930417">
        <w:t>.1</w:t>
      </w:r>
      <w:r w:rsidR="00930417">
        <w:tab/>
      </w:r>
      <w:r w:rsidR="00930417" w:rsidRPr="003B38AD">
        <w:t xml:space="preserve">Current ethics arrangements </w:t>
      </w:r>
    </w:p>
    <w:p w:rsidR="00CE08DE" w:rsidRDefault="00CE08DE" w:rsidP="00CE08DE">
      <w:pPr>
        <w:spacing w:after="0" w:line="240" w:lineRule="auto"/>
      </w:pPr>
    </w:p>
    <w:p w:rsidR="00930417" w:rsidRDefault="00930417" w:rsidP="00CE08DE">
      <w:pPr>
        <w:spacing w:after="0" w:line="240" w:lineRule="auto"/>
      </w:pPr>
      <w:r>
        <w:t xml:space="preserve">NEAC’s </w:t>
      </w:r>
      <w:r w:rsidRPr="0065512A">
        <w:rPr>
          <w:i/>
        </w:rPr>
        <w:t>Ethical Guidelines for Intervention Studies</w:t>
      </w:r>
      <w:r>
        <w:t xml:space="preserve"> recognises the overlap between intervention studies and innovative practice</w:t>
      </w:r>
      <w:r w:rsidR="00CE08DE">
        <w:t>. I</w:t>
      </w:r>
      <w:r>
        <w:t>nnovative practice is defined as practice that is a planned deviation fro</w:t>
      </w:r>
      <w:r w:rsidR="00CE08DE">
        <w:t xml:space="preserve">m currently accepted practice. </w:t>
      </w:r>
      <w:r>
        <w:t>The scope of NEAC’s guidelines includes innovative practice in the con</w:t>
      </w:r>
      <w:r w:rsidR="00CE08DE">
        <w:t xml:space="preserve">text of an intervention study. </w:t>
      </w:r>
      <w:r>
        <w:t>When intending to use an innovative practice, health pr</w:t>
      </w:r>
      <w:r w:rsidR="006965F5">
        <w:t xml:space="preserve">ofessionals </w:t>
      </w:r>
      <w:r>
        <w:t>have an obligation to objectively eva</w:t>
      </w:r>
      <w:r w:rsidR="00CE08DE">
        <w:t xml:space="preserve">luate its efficacy and safety. </w:t>
      </w:r>
      <w:r>
        <w:t xml:space="preserve">NEAC’s guidelines suggest that this is best done through an intervention study.  </w:t>
      </w:r>
    </w:p>
    <w:p w:rsidR="00CE08DE" w:rsidRPr="000250C2" w:rsidRDefault="00CE08DE" w:rsidP="000250C2">
      <w:pPr>
        <w:spacing w:after="0" w:line="240" w:lineRule="auto"/>
        <w:rPr>
          <w:rFonts w:cs="Arial"/>
        </w:rPr>
      </w:pPr>
    </w:p>
    <w:p w:rsidR="00930417" w:rsidRPr="004E2D85" w:rsidRDefault="0037513D" w:rsidP="00CE08DE">
      <w:pPr>
        <w:pStyle w:val="Heading3"/>
        <w:spacing w:before="0" w:line="240" w:lineRule="auto"/>
      </w:pPr>
      <w:r>
        <w:t>6</w:t>
      </w:r>
      <w:r w:rsidR="00930417">
        <w:t>.2</w:t>
      </w:r>
      <w:r w:rsidR="00930417">
        <w:tab/>
      </w:r>
      <w:r w:rsidR="00930417" w:rsidRPr="004E2D85">
        <w:t>Issues</w:t>
      </w:r>
    </w:p>
    <w:p w:rsidR="00930417" w:rsidRDefault="00930417" w:rsidP="00CE08DE">
      <w:pPr>
        <w:spacing w:after="0" w:line="240" w:lineRule="auto"/>
      </w:pPr>
    </w:p>
    <w:p w:rsidR="00930417" w:rsidRDefault="00930417" w:rsidP="00CE08DE">
      <w:pPr>
        <w:pStyle w:val="Heading3"/>
        <w:spacing w:before="0" w:line="240" w:lineRule="auto"/>
      </w:pPr>
      <w:proofErr w:type="gramStart"/>
      <w:r>
        <w:t>Innovative practice or research?</w:t>
      </w:r>
      <w:proofErr w:type="gramEnd"/>
    </w:p>
    <w:p w:rsidR="00930417" w:rsidRDefault="00930417" w:rsidP="00CE08DE">
      <w:pPr>
        <w:spacing w:after="0" w:line="240" w:lineRule="auto"/>
      </w:pPr>
    </w:p>
    <w:p w:rsidR="00930417" w:rsidRDefault="00E77C90" w:rsidP="00CE08DE">
      <w:pPr>
        <w:spacing w:after="0" w:line="240" w:lineRule="auto"/>
      </w:pPr>
      <w:r>
        <w:t>Whether a practice is innovative depends on the extent of deviat</w:t>
      </w:r>
      <w:r w:rsidR="00CE08DE">
        <w:t xml:space="preserve">ion from established practice. </w:t>
      </w:r>
      <w:r>
        <w:t xml:space="preserve">The significance of the deviation can be judged by its likely benefits and risks to subjects; where there is </w:t>
      </w:r>
      <w:r w:rsidR="00224724">
        <w:t xml:space="preserve">no </w:t>
      </w:r>
      <w:r>
        <w:t>good reason to expect that a deviation carries new benefits or risks, the deviation may be considered to lie within t</w:t>
      </w:r>
      <w:r w:rsidR="00CE08DE">
        <w:t xml:space="preserve">he scope of routine variation. </w:t>
      </w:r>
      <w:r>
        <w:t xml:space="preserve">The greater the risks and/or benefits of an innovative practice, the greater the value </w:t>
      </w:r>
      <w:r w:rsidR="00224724">
        <w:t xml:space="preserve">that could be </w:t>
      </w:r>
      <w:r>
        <w:t xml:space="preserve">gained from producing </w:t>
      </w:r>
      <w:proofErr w:type="spellStart"/>
      <w:r>
        <w:t>generalisable</w:t>
      </w:r>
      <w:proofErr w:type="spellEnd"/>
      <w:r>
        <w:t xml:space="preserve"> information </w:t>
      </w:r>
      <w:r w:rsidR="00224724">
        <w:t xml:space="preserve">through </w:t>
      </w:r>
      <w:r w:rsidR="00CE08DE">
        <w:t xml:space="preserve">research. </w:t>
      </w:r>
      <w:r>
        <w:t>Some stakeholders have suggested that there is insufficient guidance to determine when:</w:t>
      </w:r>
    </w:p>
    <w:p w:rsidR="00CE08DE" w:rsidRDefault="00CE08DE" w:rsidP="00CE08DE">
      <w:pPr>
        <w:spacing w:after="0" w:line="240" w:lineRule="auto"/>
      </w:pPr>
    </w:p>
    <w:p w:rsidR="00930417" w:rsidRDefault="00930417" w:rsidP="00CE08DE">
      <w:pPr>
        <w:pStyle w:val="ListParagraph"/>
        <w:numPr>
          <w:ilvl w:val="0"/>
          <w:numId w:val="19"/>
        </w:numPr>
        <w:tabs>
          <w:tab w:val="clear" w:pos="-54"/>
        </w:tabs>
        <w:spacing w:after="0" w:line="240" w:lineRule="auto"/>
        <w:ind w:left="744" w:hanging="518"/>
        <w:contextualSpacing w:val="0"/>
        <w:rPr>
          <w:rFonts w:cs="Arial"/>
        </w:rPr>
      </w:pPr>
      <w:r>
        <w:rPr>
          <w:rFonts w:cs="Arial"/>
        </w:rPr>
        <w:t xml:space="preserve">innovative practice </w:t>
      </w:r>
      <w:r w:rsidR="00E77C90">
        <w:rPr>
          <w:rFonts w:cs="Arial"/>
        </w:rPr>
        <w:t xml:space="preserve">is being undertaken in the </w:t>
      </w:r>
      <w:r w:rsidR="001451F7">
        <w:rPr>
          <w:rFonts w:cs="Arial"/>
        </w:rPr>
        <w:t>context of an intervention study</w:t>
      </w:r>
    </w:p>
    <w:p w:rsidR="00CE08DE" w:rsidRDefault="00CE08DE" w:rsidP="00CE08DE">
      <w:pPr>
        <w:pStyle w:val="ListParagraph"/>
        <w:spacing w:after="0" w:line="240" w:lineRule="auto"/>
        <w:ind w:left="744"/>
        <w:contextualSpacing w:val="0"/>
        <w:rPr>
          <w:rFonts w:cs="Arial"/>
        </w:rPr>
      </w:pPr>
    </w:p>
    <w:p w:rsidR="00930417" w:rsidRDefault="00840BAA" w:rsidP="00CE08DE">
      <w:pPr>
        <w:pStyle w:val="ListParagraph"/>
        <w:numPr>
          <w:ilvl w:val="0"/>
          <w:numId w:val="19"/>
        </w:numPr>
        <w:tabs>
          <w:tab w:val="clear" w:pos="-54"/>
        </w:tabs>
        <w:spacing w:after="0" w:line="240" w:lineRule="auto"/>
        <w:ind w:left="744" w:hanging="518"/>
        <w:contextualSpacing w:val="0"/>
        <w:rPr>
          <w:rFonts w:cs="Arial"/>
        </w:rPr>
      </w:pPr>
      <w:proofErr w:type="gramStart"/>
      <w:r>
        <w:rPr>
          <w:rFonts w:cs="Arial"/>
        </w:rPr>
        <w:t>the</w:t>
      </w:r>
      <w:proofErr w:type="gramEnd"/>
      <w:r>
        <w:rPr>
          <w:rFonts w:cs="Arial"/>
        </w:rPr>
        <w:t xml:space="preserve"> efficacy and safety of an </w:t>
      </w:r>
      <w:r w:rsidR="00930417">
        <w:rPr>
          <w:rFonts w:cs="Arial"/>
        </w:rPr>
        <w:t>innovative practice need</w:t>
      </w:r>
      <w:r w:rsidR="00E77C90">
        <w:rPr>
          <w:rFonts w:cs="Arial"/>
        </w:rPr>
        <w:t>s</w:t>
      </w:r>
      <w:r w:rsidR="00930417">
        <w:rPr>
          <w:rFonts w:cs="Arial"/>
        </w:rPr>
        <w:t xml:space="preserve"> to be </w:t>
      </w:r>
      <w:r>
        <w:rPr>
          <w:rFonts w:cs="Arial"/>
        </w:rPr>
        <w:t>evaluated through an intervention study</w:t>
      </w:r>
      <w:r w:rsidR="00224724">
        <w:rPr>
          <w:rFonts w:cs="Arial"/>
        </w:rPr>
        <w:t>.</w:t>
      </w:r>
      <w:r w:rsidR="00E77C90">
        <w:rPr>
          <w:rFonts w:cs="Arial"/>
        </w:rPr>
        <w:t xml:space="preserve"> </w:t>
      </w:r>
    </w:p>
    <w:p w:rsidR="00CE08DE" w:rsidRPr="000250C2" w:rsidRDefault="00CE08DE" w:rsidP="000250C2">
      <w:pPr>
        <w:spacing w:after="0" w:line="240" w:lineRule="auto"/>
        <w:rPr>
          <w:rFonts w:cs="Arial"/>
        </w:rPr>
      </w:pPr>
    </w:p>
    <w:p w:rsidR="00930417" w:rsidRDefault="00930417" w:rsidP="00CE08DE">
      <w:pPr>
        <w:pStyle w:val="Heading3"/>
        <w:spacing w:before="0" w:line="240" w:lineRule="auto"/>
      </w:pPr>
      <w:r>
        <w:t>Ethical review of innovative practice</w:t>
      </w:r>
    </w:p>
    <w:p w:rsidR="00930417" w:rsidRDefault="00930417" w:rsidP="00CE08DE">
      <w:pPr>
        <w:spacing w:after="0" w:line="240" w:lineRule="auto"/>
      </w:pPr>
    </w:p>
    <w:p w:rsidR="00930417" w:rsidRDefault="00930417" w:rsidP="00CE08DE">
      <w:pPr>
        <w:spacing w:after="0" w:line="240" w:lineRule="auto"/>
      </w:pPr>
      <w:r>
        <w:t xml:space="preserve">Stakeholders have raised questions about the adequacy of existing review processes for innovative practice (that </w:t>
      </w:r>
      <w:r w:rsidR="00CE08DE">
        <w:t xml:space="preserve">is not an intervention study). </w:t>
      </w:r>
      <w:r w:rsidR="00224724">
        <w:t xml:space="preserve">In particular, there is a lack of clarity on current processes </w:t>
      </w:r>
      <w:r w:rsidR="00CE08DE">
        <w:t xml:space="preserve">and inconsistency across DHBs. </w:t>
      </w:r>
      <w:r w:rsidR="00224724">
        <w:t xml:space="preserve">This issue was also raised by the </w:t>
      </w:r>
      <w:r w:rsidR="00CE08DE">
        <w:t xml:space="preserve">Health and Disability Commissioner </w:t>
      </w:r>
      <w:r w:rsidR="00224724">
        <w:t>in a 2013 investigation into the prescribing of ketamine in Southern DHB</w:t>
      </w:r>
      <w:r w:rsidR="00CE08DE">
        <w:t>.</w:t>
      </w:r>
      <w:r w:rsidR="00CE08DE">
        <w:rPr>
          <w:rStyle w:val="FootnoteReference"/>
        </w:rPr>
        <w:footnoteReference w:id="18"/>
      </w:r>
      <w:r w:rsidR="00224724">
        <w:t xml:space="preserve"> </w:t>
      </w:r>
    </w:p>
    <w:p w:rsidR="00CE08DE" w:rsidRPr="000250C2" w:rsidRDefault="00CE08DE" w:rsidP="000250C2">
      <w:pPr>
        <w:spacing w:after="0" w:line="240" w:lineRule="auto"/>
        <w:rPr>
          <w:rFonts w:cs="Arial"/>
        </w:rPr>
      </w:pPr>
    </w:p>
    <w:p w:rsidR="00CE08DE" w:rsidRPr="00CE08DE" w:rsidRDefault="0037513D" w:rsidP="00CE08DE">
      <w:pPr>
        <w:pStyle w:val="Heading3"/>
        <w:spacing w:before="0" w:line="240" w:lineRule="auto"/>
        <w:rPr>
          <w:szCs w:val="24"/>
        </w:rPr>
      </w:pPr>
      <w:r>
        <w:t>6</w:t>
      </w:r>
      <w:r w:rsidR="00930417">
        <w:t>.3</w:t>
      </w:r>
      <w:r w:rsidR="00930417">
        <w:tab/>
      </w:r>
      <w:r w:rsidR="00930417" w:rsidRPr="004E2D85">
        <w:t xml:space="preserve">Current responses </w:t>
      </w:r>
    </w:p>
    <w:p w:rsidR="00CE08DE" w:rsidRPr="002031BD" w:rsidRDefault="00CE08DE" w:rsidP="00CE08DE">
      <w:pPr>
        <w:spacing w:after="0" w:line="240" w:lineRule="auto"/>
      </w:pPr>
    </w:p>
    <w:p w:rsidR="00224724" w:rsidRPr="002031BD" w:rsidRDefault="00224724" w:rsidP="00CE08DE">
      <w:pPr>
        <w:spacing w:after="0" w:line="240" w:lineRule="auto"/>
      </w:pPr>
      <w:r w:rsidRPr="002031BD">
        <w:t xml:space="preserve">The DHB Chief Medical Officers’ Group </w:t>
      </w:r>
      <w:r w:rsidR="00867263">
        <w:t xml:space="preserve">has developed </w:t>
      </w:r>
      <w:r w:rsidRPr="002031BD">
        <w:t xml:space="preserve">a national policy for all DHBs on </w:t>
      </w:r>
      <w:r w:rsidR="00867263">
        <w:t xml:space="preserve">the use of unapproved medicines and the use of medicines for unapproved indications </w:t>
      </w:r>
      <w:r w:rsidRPr="002031BD">
        <w:t>(</w:t>
      </w:r>
      <w:r w:rsidR="00867263">
        <w:t>off-label use)</w:t>
      </w:r>
      <w:r w:rsidRPr="002031BD">
        <w:t>.  In some c</w:t>
      </w:r>
      <w:r w:rsidR="0081027D" w:rsidRPr="002031BD">
        <w:t>ases</w:t>
      </w:r>
      <w:r w:rsidRPr="002031BD">
        <w:t xml:space="preserve">, </w:t>
      </w:r>
      <w:r w:rsidR="00867263">
        <w:t xml:space="preserve">using medicines for unapproved indications </w:t>
      </w:r>
      <w:r w:rsidRPr="002031BD">
        <w:t xml:space="preserve">may be considered to be innovative practice; </w:t>
      </w:r>
      <w:r w:rsidR="0081027D" w:rsidRPr="002031BD">
        <w:t xml:space="preserve">in other cases, </w:t>
      </w:r>
      <w:r w:rsidR="00867263">
        <w:t xml:space="preserve">medicines may be in </w:t>
      </w:r>
      <w:r w:rsidR="00C24A5C" w:rsidRPr="002031BD">
        <w:t>common use (</w:t>
      </w:r>
      <w:proofErr w:type="spellStart"/>
      <w:r w:rsidR="00C24A5C" w:rsidRPr="002031BD">
        <w:t>eg</w:t>
      </w:r>
      <w:proofErr w:type="spellEnd"/>
      <w:r w:rsidR="00C24A5C" w:rsidRPr="002031BD">
        <w:t xml:space="preserve">, </w:t>
      </w:r>
      <w:r w:rsidR="00867263">
        <w:t>many medicines routinely used in p</w:t>
      </w:r>
      <w:r w:rsidR="00C24A5C" w:rsidRPr="002031BD">
        <w:t xml:space="preserve">aediatrics </w:t>
      </w:r>
      <w:r w:rsidR="00867263">
        <w:t xml:space="preserve">are not approved for use </w:t>
      </w:r>
      <w:r w:rsidR="00A57DE9">
        <w:t>with</w:t>
      </w:r>
      <w:r w:rsidR="00867263">
        <w:t xml:space="preserve"> children</w:t>
      </w:r>
      <w:r w:rsidR="00C24A5C" w:rsidRPr="002031BD">
        <w:t>)</w:t>
      </w:r>
      <w:r w:rsidRPr="002031BD">
        <w:t xml:space="preserve">. The national policy work </w:t>
      </w:r>
      <w:r w:rsidR="00867263">
        <w:t xml:space="preserve">responded </w:t>
      </w:r>
      <w:r w:rsidRPr="002031BD">
        <w:t>to recommendations by the H</w:t>
      </w:r>
      <w:r w:rsidR="006965F5">
        <w:t>ealth and Disability Commissioner</w:t>
      </w:r>
      <w:r w:rsidRPr="002031BD">
        <w:t xml:space="preserve"> that all DHBs review their policy on off-label prescribing</w:t>
      </w:r>
      <w:r w:rsidR="0081027D" w:rsidRPr="002031BD">
        <w:t xml:space="preserve"> (Case 11HDC01072).  This </w:t>
      </w:r>
      <w:r w:rsidRPr="002031BD">
        <w:t>includ</w:t>
      </w:r>
      <w:r w:rsidR="0081027D" w:rsidRPr="002031BD">
        <w:t>es</w:t>
      </w:r>
      <w:r w:rsidRPr="002031BD">
        <w:t xml:space="preserve"> whether clinicians have a common understanding of what is meant by “well conducted clinical trials”, the meaning of innovative treatment, what precautions should be taken, what peer review is expected, how it should be recorded, at what point the concurrence from peer consultation is sufficiently positive, and what ethical consideration needs to occur with different levels of novel or unusual medications.  </w:t>
      </w:r>
    </w:p>
    <w:p w:rsidR="00CE08DE" w:rsidRDefault="00CE08DE" w:rsidP="00CE08DE">
      <w:pPr>
        <w:spacing w:after="0" w:line="240" w:lineRule="auto"/>
      </w:pPr>
    </w:p>
    <w:p w:rsidR="00930417" w:rsidRDefault="00930417" w:rsidP="00CE08DE">
      <w:pPr>
        <w:spacing w:after="0" w:line="240" w:lineRule="auto"/>
      </w:pPr>
      <w:proofErr w:type="spellStart"/>
      <w:r>
        <w:t>Otago</w:t>
      </w:r>
      <w:proofErr w:type="spellEnd"/>
      <w:r>
        <w:t xml:space="preserve"> University Human Ethics Committee (Health) has been approached by DHBs and asked to consider innovative practice applications. The Committee considers it may be appropriate for them to undertake this review but only where the DHB is linked with the University.  </w:t>
      </w:r>
    </w:p>
    <w:p w:rsidR="00CE08DE" w:rsidRPr="000250C2" w:rsidRDefault="00CE08DE" w:rsidP="000250C2">
      <w:pPr>
        <w:spacing w:after="0" w:line="240" w:lineRule="auto"/>
        <w:rPr>
          <w:rFonts w:cs="Arial"/>
        </w:rPr>
      </w:pPr>
    </w:p>
    <w:p w:rsidR="00CE08DE" w:rsidRDefault="0037513D" w:rsidP="00CE08DE">
      <w:pPr>
        <w:pStyle w:val="Heading3"/>
        <w:spacing w:before="0" w:line="240" w:lineRule="auto"/>
      </w:pPr>
      <w:r>
        <w:t>6</w:t>
      </w:r>
      <w:r w:rsidR="00930417">
        <w:t>.4</w:t>
      </w:r>
      <w:r w:rsidR="00930417">
        <w:tab/>
      </w:r>
      <w:r w:rsidR="00930417" w:rsidRPr="004E2D85">
        <w:t xml:space="preserve">Other possible responses </w:t>
      </w:r>
    </w:p>
    <w:p w:rsidR="00CE08DE" w:rsidRDefault="00CE08DE" w:rsidP="00CE08DE">
      <w:pPr>
        <w:spacing w:after="0" w:line="240" w:lineRule="auto"/>
      </w:pPr>
    </w:p>
    <w:p w:rsidR="00930417" w:rsidRDefault="00930417" w:rsidP="00CE08DE">
      <w:pPr>
        <w:spacing w:after="0" w:line="240" w:lineRule="auto"/>
      </w:pPr>
      <w:r>
        <w:t xml:space="preserve">NEAC </w:t>
      </w:r>
      <w:r w:rsidR="00E77C90">
        <w:t>could undertake further work to develop</w:t>
      </w:r>
      <w:r>
        <w:t xml:space="preserve"> guid</w:t>
      </w:r>
      <w:r w:rsidR="00E77C90">
        <w:t xml:space="preserve">ance </w:t>
      </w:r>
      <w:r>
        <w:t>on innovative practice</w:t>
      </w:r>
      <w:r w:rsidR="00E77C90">
        <w:t xml:space="preserve"> with a particular focus on ethical issues and the circumstances in which innovative practice should be subject to an intervention study.</w:t>
      </w:r>
      <w:r>
        <w:t xml:space="preserve">  </w:t>
      </w:r>
    </w:p>
    <w:p w:rsidR="00CE08DE" w:rsidRPr="000250C2" w:rsidRDefault="00CE08DE" w:rsidP="000250C2">
      <w:pPr>
        <w:spacing w:after="0" w:line="240" w:lineRule="auto"/>
        <w:rPr>
          <w:rFonts w:cs="Arial"/>
        </w:rPr>
      </w:pPr>
    </w:p>
    <w:p w:rsidR="00930417" w:rsidRDefault="0037513D" w:rsidP="00CE08DE">
      <w:pPr>
        <w:pStyle w:val="Heading3"/>
        <w:spacing w:before="0" w:line="240" w:lineRule="auto"/>
      </w:pPr>
      <w:r>
        <w:t>6</w:t>
      </w:r>
      <w:r w:rsidR="00930417">
        <w:t>.5</w:t>
      </w:r>
      <w:r w:rsidR="00930417">
        <w:tab/>
        <w:t>Questions</w:t>
      </w:r>
    </w:p>
    <w:p w:rsidR="00CE08DE" w:rsidRPr="00CE08DE" w:rsidRDefault="00CE08DE" w:rsidP="00CE08DE">
      <w:pPr>
        <w:spacing w:after="0"/>
      </w:pPr>
    </w:p>
    <w:p w:rsidR="00012DE2" w:rsidRDefault="00012DE2" w:rsidP="00CE08DE">
      <w:pPr>
        <w:pStyle w:val="ListParagraph"/>
        <w:numPr>
          <w:ilvl w:val="0"/>
          <w:numId w:val="33"/>
        </w:numPr>
        <w:spacing w:after="0" w:line="240" w:lineRule="auto"/>
      </w:pPr>
      <w:r>
        <w:t xml:space="preserve">Should further guidance be developed on innovative practice? </w:t>
      </w:r>
    </w:p>
    <w:p w:rsidR="00012DE2" w:rsidRDefault="00012DE2" w:rsidP="00DC7738">
      <w:pPr>
        <w:pStyle w:val="ListParagraph"/>
        <w:spacing w:after="0" w:line="240" w:lineRule="auto"/>
      </w:pPr>
    </w:p>
    <w:p w:rsidR="00930417" w:rsidRDefault="00930417" w:rsidP="00CE08DE">
      <w:pPr>
        <w:pStyle w:val="ListParagraph"/>
        <w:numPr>
          <w:ilvl w:val="0"/>
          <w:numId w:val="33"/>
        </w:numPr>
        <w:spacing w:after="0" w:line="240" w:lineRule="auto"/>
      </w:pPr>
      <w:r>
        <w:t>What guidance on innovative practice would be helpful for health professionals?</w:t>
      </w:r>
    </w:p>
    <w:p w:rsidR="00CE08DE" w:rsidRDefault="00CE08DE" w:rsidP="00CE08DE">
      <w:pPr>
        <w:pStyle w:val="ListParagraph"/>
        <w:spacing w:after="0" w:line="240" w:lineRule="auto"/>
      </w:pPr>
    </w:p>
    <w:p w:rsidR="00930417" w:rsidRDefault="00E77C90" w:rsidP="00CE08DE">
      <w:pPr>
        <w:pStyle w:val="ListParagraph"/>
        <w:numPr>
          <w:ilvl w:val="0"/>
          <w:numId w:val="33"/>
        </w:numPr>
        <w:spacing w:after="0" w:line="240" w:lineRule="auto"/>
      </w:pPr>
      <w:r>
        <w:t>What are your views on current processes for reviewing innovative practice</w:t>
      </w:r>
      <w:r w:rsidR="00930417">
        <w:t>?</w:t>
      </w:r>
    </w:p>
    <w:p w:rsidR="00CE08DE" w:rsidRDefault="00CE08DE" w:rsidP="00CE08DE">
      <w:pPr>
        <w:spacing w:after="0" w:line="240" w:lineRule="auto"/>
      </w:pPr>
    </w:p>
    <w:p w:rsidR="00683076" w:rsidRDefault="00683076" w:rsidP="00CE08DE">
      <w:pPr>
        <w:spacing w:after="0" w:line="240" w:lineRule="auto"/>
        <w:rPr>
          <w:rFonts w:asciiTheme="majorHAnsi" w:eastAsiaTheme="majorEastAsia" w:hAnsiTheme="majorHAnsi" w:cstheme="majorBidi"/>
          <w:b/>
          <w:bCs/>
          <w:color w:val="4F81BD" w:themeColor="accent1"/>
          <w:sz w:val="26"/>
          <w:szCs w:val="26"/>
        </w:rPr>
      </w:pPr>
      <w:r>
        <w:br w:type="page"/>
      </w:r>
    </w:p>
    <w:p w:rsidR="00B42774" w:rsidRDefault="00824F03" w:rsidP="00824F03">
      <w:pPr>
        <w:pStyle w:val="Heading2"/>
        <w:spacing w:before="0" w:line="240" w:lineRule="auto"/>
      </w:pPr>
      <w:bookmarkStart w:id="26" w:name="_Toc401587740"/>
      <w:r>
        <w:t>7.</w:t>
      </w:r>
      <w:r>
        <w:tab/>
      </w:r>
      <w:r w:rsidR="009D4230">
        <w:t>Other issues</w:t>
      </w:r>
      <w:bookmarkEnd w:id="26"/>
    </w:p>
    <w:p w:rsidR="00893045" w:rsidRDefault="00893045" w:rsidP="00CE08DE">
      <w:pPr>
        <w:spacing w:after="0" w:line="240" w:lineRule="auto"/>
      </w:pPr>
      <w:r>
        <w:br/>
        <w:t>Th</w:t>
      </w:r>
      <w:r w:rsidR="00FE7DAA">
        <w:t>is</w:t>
      </w:r>
      <w:r>
        <w:t xml:space="preserve"> discussion document sets out NEAC’s analysis of current cross-</w:t>
      </w:r>
      <w:proofErr w:type="spellStart"/>
      <w:r>
        <w:t>sectoral</w:t>
      </w:r>
      <w:proofErr w:type="spellEnd"/>
      <w:r>
        <w:t xml:space="preserve"> research ethics arrangements for h</w:t>
      </w:r>
      <w:r w:rsidR="00CE08DE">
        <w:t xml:space="preserve">ealth and disability research. </w:t>
      </w:r>
      <w:r w:rsidR="00FE7DAA">
        <w:t xml:space="preserve">It describes issues associated with </w:t>
      </w:r>
      <w:r w:rsidR="0051465E">
        <w:t>six</w:t>
      </w:r>
      <w:r w:rsidR="00FE7DAA">
        <w:t xml:space="preserve"> </w:t>
      </w:r>
      <w:r>
        <w:t>aspects of the</w:t>
      </w:r>
      <w:r w:rsidR="00FE7DAA">
        <w:t>se</w:t>
      </w:r>
      <w:r>
        <w:t xml:space="preserve"> ethics arrangements</w:t>
      </w:r>
      <w:r w:rsidR="00FE7DAA">
        <w:t xml:space="preserve"> and discusses current</w:t>
      </w:r>
      <w:r w:rsidR="00CE08DE">
        <w:t xml:space="preserve"> and other possible responses. </w:t>
      </w:r>
      <w:r w:rsidR="00FE7DAA">
        <w:t>NEAC welcomes your feedback on these issues and responses.</w:t>
      </w:r>
    </w:p>
    <w:p w:rsidR="00CE08DE" w:rsidRDefault="00CE08DE" w:rsidP="00CE08DE">
      <w:pPr>
        <w:spacing w:after="0" w:line="240" w:lineRule="auto"/>
      </w:pPr>
    </w:p>
    <w:p w:rsidR="00893045" w:rsidRDefault="0081027D" w:rsidP="00CE08DE">
      <w:pPr>
        <w:spacing w:after="0" w:line="240" w:lineRule="auto"/>
      </w:pPr>
      <w:r>
        <w:t>T</w:t>
      </w:r>
      <w:r w:rsidR="00FE7DAA">
        <w:t xml:space="preserve">here are likely to be other issues that are not covered in this document and </w:t>
      </w:r>
      <w:r>
        <w:t xml:space="preserve">NEAC </w:t>
      </w:r>
      <w:r w:rsidR="00FE7DAA">
        <w:t xml:space="preserve">would like to hear about these, along with any suggestions for addressing these issues.  </w:t>
      </w:r>
    </w:p>
    <w:p w:rsidR="00CE08DE" w:rsidRPr="000250C2" w:rsidRDefault="00CE08DE" w:rsidP="000250C2">
      <w:pPr>
        <w:spacing w:after="0" w:line="240" w:lineRule="auto"/>
        <w:rPr>
          <w:rFonts w:cs="Arial"/>
        </w:rPr>
      </w:pPr>
    </w:p>
    <w:p w:rsidR="00FE7DAA" w:rsidRDefault="0037513D" w:rsidP="00CE08DE">
      <w:pPr>
        <w:pStyle w:val="Heading3"/>
        <w:spacing w:before="0" w:line="240" w:lineRule="auto"/>
      </w:pPr>
      <w:r>
        <w:t>7</w:t>
      </w:r>
      <w:r w:rsidR="00FE7DAA">
        <w:t>.1</w:t>
      </w:r>
      <w:r w:rsidR="00FE7DAA">
        <w:tab/>
        <w:t>Questions</w:t>
      </w:r>
    </w:p>
    <w:p w:rsidR="00CE08DE" w:rsidRDefault="00CE08DE" w:rsidP="00CE08DE">
      <w:pPr>
        <w:spacing w:after="0" w:line="240" w:lineRule="auto"/>
      </w:pPr>
    </w:p>
    <w:p w:rsidR="00FE7DAA" w:rsidRDefault="00FE7DAA" w:rsidP="00CE08DE">
      <w:pPr>
        <w:pStyle w:val="ListParagraph"/>
        <w:numPr>
          <w:ilvl w:val="0"/>
          <w:numId w:val="34"/>
        </w:numPr>
        <w:spacing w:after="0" w:line="240" w:lineRule="auto"/>
      </w:pPr>
      <w:r>
        <w:t>What other issues are associated with the cross-</w:t>
      </w:r>
      <w:proofErr w:type="spellStart"/>
      <w:r>
        <w:t>sectoral</w:t>
      </w:r>
      <w:proofErr w:type="spellEnd"/>
      <w:r>
        <w:t xml:space="preserve"> ethics arrangements for health and disability research?</w:t>
      </w:r>
    </w:p>
    <w:p w:rsidR="00CE08DE" w:rsidRDefault="00CE08DE" w:rsidP="00CE08DE">
      <w:pPr>
        <w:spacing w:after="0" w:line="240" w:lineRule="auto"/>
      </w:pPr>
    </w:p>
    <w:p w:rsidR="00FE7DAA" w:rsidRDefault="00FE7DAA" w:rsidP="00CE08DE">
      <w:pPr>
        <w:pStyle w:val="ListParagraph"/>
        <w:numPr>
          <w:ilvl w:val="0"/>
          <w:numId w:val="34"/>
        </w:numPr>
        <w:spacing w:after="0" w:line="240" w:lineRule="auto"/>
      </w:pPr>
      <w:r>
        <w:t>How might these issues be addressed?</w:t>
      </w:r>
    </w:p>
    <w:p w:rsidR="00CB522C" w:rsidRDefault="00CB522C" w:rsidP="00CE08DE">
      <w:pPr>
        <w:spacing w:after="0" w:line="240" w:lineRule="auto"/>
      </w:pPr>
    </w:p>
    <w:p w:rsidR="009D4BC5" w:rsidRDefault="009D4BC5" w:rsidP="00CE08DE">
      <w:pPr>
        <w:spacing w:after="0" w:line="240" w:lineRule="auto"/>
        <w:sectPr w:rsidR="009D4BC5" w:rsidSect="008F3CAE">
          <w:pgSz w:w="11906" w:h="16838"/>
          <w:pgMar w:top="1440" w:right="1440" w:bottom="1440" w:left="1440" w:header="708" w:footer="708" w:gutter="0"/>
          <w:cols w:space="708"/>
          <w:titlePg/>
          <w:docGrid w:linePitch="360"/>
        </w:sectPr>
      </w:pPr>
    </w:p>
    <w:p w:rsidR="009D4BC5" w:rsidRDefault="00824F03" w:rsidP="009D4BC5">
      <w:pPr>
        <w:pStyle w:val="Heading1"/>
        <w:spacing w:before="0" w:line="240" w:lineRule="auto"/>
      </w:pPr>
      <w:bookmarkStart w:id="27" w:name="_Toc401587741"/>
      <w:r>
        <w:t xml:space="preserve">Appendix 1:  </w:t>
      </w:r>
      <w:r w:rsidR="009D4BC5">
        <w:t>Ethics review, advisory and monitoring bodies</w:t>
      </w:r>
      <w:bookmarkEnd w:id="27"/>
    </w:p>
    <w:p w:rsidR="009D4BC5" w:rsidRDefault="009D4BC5" w:rsidP="009D4BC5">
      <w:pPr>
        <w:spacing w:after="0" w:line="240" w:lineRule="auto"/>
      </w:pPr>
    </w:p>
    <w:p w:rsidR="009D4BC5" w:rsidRDefault="009D4BC5" w:rsidP="00CE08DE">
      <w:pPr>
        <w:spacing w:after="0" w:line="240" w:lineRule="auto"/>
      </w:pPr>
    </w:p>
    <w:tbl>
      <w:tblPr>
        <w:tblStyle w:val="LightList-Accent1"/>
        <w:tblW w:w="5000" w:type="pct"/>
        <w:tblLook w:val="04A0" w:firstRow="1" w:lastRow="0" w:firstColumn="1" w:lastColumn="0" w:noHBand="0" w:noVBand="1"/>
      </w:tblPr>
      <w:tblGrid>
        <w:gridCol w:w="3027"/>
        <w:gridCol w:w="3405"/>
        <w:gridCol w:w="7742"/>
      </w:tblGrid>
      <w:tr w:rsidR="005E53E7" w:rsidRPr="00C77260" w:rsidTr="009D4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Borders>
              <w:top w:val="single" w:sz="8" w:space="0" w:color="4F81BD" w:themeColor="accent1"/>
              <w:bottom w:val="single" w:sz="4" w:space="0" w:color="4F81BD" w:themeColor="accent1"/>
            </w:tcBorders>
            <w:shd w:val="clear" w:color="auto" w:fill="FFFFFF" w:themeFill="background1"/>
          </w:tcPr>
          <w:p w:rsidR="005E53E7" w:rsidRPr="009D4BC5" w:rsidRDefault="005E53E7" w:rsidP="00012DE2">
            <w:pPr>
              <w:rPr>
                <w:color w:val="auto"/>
                <w:sz w:val="22"/>
              </w:rPr>
            </w:pPr>
          </w:p>
          <w:p w:rsidR="005E53E7" w:rsidRPr="009D4BC5" w:rsidRDefault="005E53E7" w:rsidP="00012DE2">
            <w:pPr>
              <w:rPr>
                <w:color w:val="auto"/>
                <w:sz w:val="22"/>
              </w:rPr>
            </w:pPr>
            <w:r w:rsidRPr="009D4BC5">
              <w:rPr>
                <w:color w:val="auto"/>
                <w:sz w:val="22"/>
              </w:rPr>
              <w:t>Advisory Committee on Assisted Reproductive Technology</w:t>
            </w:r>
          </w:p>
        </w:tc>
        <w:tc>
          <w:tcPr>
            <w:tcW w:w="1201" w:type="pct"/>
            <w:tcBorders>
              <w:top w:val="single" w:sz="8" w:space="0" w:color="4F81BD" w:themeColor="accent1"/>
              <w:bottom w:val="single" w:sz="8" w:space="0" w:color="4F81BD" w:themeColor="accent1"/>
            </w:tcBorders>
            <w:shd w:val="clear" w:color="auto" w:fill="FFFFFF" w:themeFill="background1"/>
          </w:tcPr>
          <w:p w:rsidR="005E53E7" w:rsidRPr="009D4BC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p>
          <w:p w:rsidR="005E53E7" w:rsidRPr="009D4BC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r w:rsidRPr="009D4BC5">
              <w:rPr>
                <w:b w:val="0"/>
                <w:color w:val="auto"/>
                <w:sz w:val="22"/>
              </w:rPr>
              <w:t>Established under section 32 of the Human Assisted Reproductive Technology Act 2004.</w:t>
            </w:r>
          </w:p>
          <w:p w:rsidR="005E53E7" w:rsidRPr="009D4BC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p>
          <w:p w:rsidR="005E53E7" w:rsidRPr="009D4BC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r w:rsidRPr="009D4BC5">
              <w:rPr>
                <w:b w:val="0"/>
                <w:color w:val="auto"/>
                <w:sz w:val="22"/>
              </w:rPr>
              <w:t>Members are appointed by the Minister of Health.</w:t>
            </w:r>
          </w:p>
          <w:p w:rsidR="005E53E7" w:rsidRPr="009D4BC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p>
        </w:tc>
        <w:tc>
          <w:tcPr>
            <w:tcW w:w="2731" w:type="pct"/>
            <w:tcBorders>
              <w:top w:val="single" w:sz="8" w:space="0" w:color="4F81BD" w:themeColor="accent1"/>
              <w:bottom w:val="single" w:sz="8" w:space="0" w:color="4F81BD" w:themeColor="accent1"/>
            </w:tcBorders>
            <w:shd w:val="clear" w:color="auto" w:fill="FFFFFF" w:themeFill="background1"/>
          </w:tcPr>
          <w:p w:rsidR="005E53E7" w:rsidRPr="009D4BC5" w:rsidRDefault="005E53E7" w:rsidP="009D4BC5">
            <w:pPr>
              <w:cnfStyle w:val="100000000000" w:firstRow="1" w:lastRow="0" w:firstColumn="0" w:lastColumn="0" w:oddVBand="0" w:evenVBand="0" w:oddHBand="0" w:evenHBand="0" w:firstRowFirstColumn="0" w:firstRowLastColumn="0" w:lastRowFirstColumn="0" w:lastRowLastColumn="0"/>
              <w:rPr>
                <w:rFonts w:eastAsia="Calibri"/>
                <w:b w:val="0"/>
                <w:bCs w:val="0"/>
                <w:color w:val="auto"/>
                <w:sz w:val="22"/>
              </w:rPr>
            </w:pPr>
          </w:p>
          <w:p w:rsidR="005E53E7" w:rsidRPr="009D4BC5" w:rsidRDefault="005E53E7" w:rsidP="009D4BC5">
            <w:pPr>
              <w:pStyle w:val="ListParagraph"/>
              <w:numPr>
                <w:ilvl w:val="0"/>
                <w:numId w:val="40"/>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rFonts w:cs="Arial"/>
                <w:b w:val="0"/>
                <w:bCs w:val="0"/>
                <w:color w:val="auto"/>
                <w:sz w:val="22"/>
              </w:rPr>
            </w:pPr>
            <w:r w:rsidRPr="009D4BC5">
              <w:rPr>
                <w:rFonts w:cs="Arial"/>
                <w:b w:val="0"/>
                <w:bCs w:val="0"/>
                <w:color w:val="auto"/>
                <w:sz w:val="22"/>
              </w:rPr>
              <w:t>Issues guidelines and advice to the Ethics Advisory Committee on Assisted Reproductive Technology regarding assisted reproductive procedures or human reproductive research.</w:t>
            </w:r>
          </w:p>
          <w:p w:rsidR="005E53E7" w:rsidRPr="009D4BC5" w:rsidRDefault="005E53E7" w:rsidP="009D4BC5">
            <w:pPr>
              <w:pStyle w:val="ListParagraph"/>
              <w:numPr>
                <w:ilvl w:val="0"/>
                <w:numId w:val="40"/>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rFonts w:cs="Arial"/>
                <w:b w:val="0"/>
                <w:bCs w:val="0"/>
                <w:color w:val="auto"/>
                <w:sz w:val="22"/>
              </w:rPr>
            </w:pPr>
            <w:r w:rsidRPr="009D4BC5">
              <w:rPr>
                <w:rFonts w:cs="Arial"/>
                <w:b w:val="0"/>
                <w:bCs w:val="0"/>
                <w:color w:val="auto"/>
                <w:sz w:val="22"/>
              </w:rPr>
              <w:t>Provides the Minister of Health with advice about such procedures or research.</w:t>
            </w:r>
          </w:p>
          <w:p w:rsidR="005E53E7" w:rsidRPr="009D4BC5" w:rsidRDefault="005E53E7" w:rsidP="009D4BC5">
            <w:pPr>
              <w:spacing w:after="120"/>
              <w:cnfStyle w:val="100000000000" w:firstRow="1" w:lastRow="0" w:firstColumn="0" w:lastColumn="0" w:oddVBand="0" w:evenVBand="0" w:oddHBand="0" w:evenHBand="0" w:firstRowFirstColumn="0" w:firstRowLastColumn="0" w:lastRowFirstColumn="0" w:lastRowLastColumn="0"/>
              <w:rPr>
                <w:rFonts w:cs="Arial"/>
                <w:sz w:val="22"/>
              </w:rPr>
            </w:pPr>
          </w:p>
        </w:tc>
      </w:tr>
      <w:tr w:rsidR="005E53E7" w:rsidRPr="00105B90" w:rsidTr="009D4BC5">
        <w:trPr>
          <w:cnfStyle w:val="000000100000" w:firstRow="0" w:lastRow="0" w:firstColumn="0" w:lastColumn="0" w:oddVBand="0" w:evenVBand="0" w:oddHBand="1" w:evenHBand="0"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1068" w:type="pct"/>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tcPr>
          <w:p w:rsidR="005E53E7" w:rsidRDefault="005E53E7" w:rsidP="00012DE2">
            <w:pPr>
              <w:rPr>
                <w:sz w:val="22"/>
              </w:rPr>
            </w:pPr>
          </w:p>
          <w:p w:rsidR="005E53E7" w:rsidRPr="00F11A68" w:rsidRDefault="005E53E7" w:rsidP="00012DE2">
            <w:pPr>
              <w:rPr>
                <w:b w:val="0"/>
                <w:sz w:val="22"/>
              </w:rPr>
            </w:pPr>
            <w:r w:rsidRPr="00F11A68">
              <w:rPr>
                <w:sz w:val="22"/>
              </w:rPr>
              <w:t>Data Monitoring Core Committee</w:t>
            </w:r>
            <w:r>
              <w:rPr>
                <w:sz w:val="22"/>
              </w:rPr>
              <w:t xml:space="preserve"> (DMCC)</w:t>
            </w:r>
          </w:p>
          <w:p w:rsidR="005E53E7" w:rsidRPr="00F11A68" w:rsidRDefault="005E53E7" w:rsidP="00012DE2">
            <w:pPr>
              <w:rPr>
                <w:b w:val="0"/>
                <w:sz w:val="22"/>
              </w:rPr>
            </w:pPr>
          </w:p>
        </w:tc>
        <w:tc>
          <w:tcPr>
            <w:tcW w:w="1201" w:type="pct"/>
            <w:tcBorders>
              <w:bottom w:val="single" w:sz="4" w:space="0" w:color="4F81BD" w:themeColor="accent1"/>
            </w:tcBorders>
            <w:shd w:val="clear" w:color="auto" w:fill="DBE5F1" w:themeFill="accent1" w:themeFillTint="33"/>
          </w:tcPr>
          <w:p w:rsidR="005E53E7" w:rsidRDefault="005E53E7" w:rsidP="00012DE2">
            <w:pPr>
              <w:cnfStyle w:val="000000100000" w:firstRow="0" w:lastRow="0" w:firstColumn="0" w:lastColumn="0" w:oddVBand="0" w:evenVBand="0" w:oddHBand="1" w:evenHBand="0" w:firstRowFirstColumn="0" w:firstRowLastColumn="0" w:lastRowFirstColumn="0" w:lastRowLastColumn="0"/>
              <w:rPr>
                <w:rFonts w:eastAsia="Calibri"/>
                <w:sz w:val="22"/>
              </w:rPr>
            </w:pPr>
          </w:p>
          <w:p w:rsidR="005E53E7" w:rsidRDefault="005E53E7" w:rsidP="00012DE2">
            <w:pPr>
              <w:cnfStyle w:val="000000100000" w:firstRow="0" w:lastRow="0" w:firstColumn="0" w:lastColumn="0" w:oddVBand="0" w:evenVBand="0" w:oddHBand="1" w:evenHBand="0" w:firstRowFirstColumn="0" w:firstRowLastColumn="0" w:lastRowFirstColumn="0" w:lastRowLastColumn="0"/>
              <w:rPr>
                <w:rFonts w:eastAsia="Calibri"/>
                <w:sz w:val="22"/>
              </w:rPr>
            </w:pPr>
            <w:r>
              <w:rPr>
                <w:rFonts w:eastAsia="Calibri"/>
                <w:sz w:val="22"/>
              </w:rPr>
              <w:t>Administered by the HRCEC.</w:t>
            </w:r>
          </w:p>
          <w:p w:rsidR="005E53E7" w:rsidRDefault="005E53E7" w:rsidP="00012DE2">
            <w:pPr>
              <w:cnfStyle w:val="000000100000" w:firstRow="0" w:lastRow="0" w:firstColumn="0" w:lastColumn="0" w:oddVBand="0" w:evenVBand="0" w:oddHBand="1" w:evenHBand="0" w:firstRowFirstColumn="0" w:firstRowLastColumn="0" w:lastRowFirstColumn="0" w:lastRowLastColumn="0"/>
              <w:rPr>
                <w:rFonts w:eastAsia="Calibri"/>
                <w:sz w:val="22"/>
              </w:rPr>
            </w:pPr>
          </w:p>
          <w:p w:rsidR="005E53E7" w:rsidRPr="00F11A68" w:rsidRDefault="005E53E7" w:rsidP="00012DE2">
            <w:pPr>
              <w:cnfStyle w:val="000000100000" w:firstRow="0" w:lastRow="0" w:firstColumn="0" w:lastColumn="0" w:oddVBand="0" w:evenVBand="0" w:oddHBand="1" w:evenHBand="0" w:firstRowFirstColumn="0" w:firstRowLastColumn="0" w:lastRowFirstColumn="0" w:lastRowLastColumn="0"/>
              <w:rPr>
                <w:rFonts w:eastAsia="Calibri"/>
                <w:sz w:val="22"/>
              </w:rPr>
            </w:pPr>
            <w:r>
              <w:rPr>
                <w:rFonts w:eastAsia="Calibri"/>
                <w:sz w:val="22"/>
              </w:rPr>
              <w:t>Members are appointed by the HRC.</w:t>
            </w:r>
            <w:r w:rsidRPr="00F11A68">
              <w:rPr>
                <w:rFonts w:eastAsia="Calibri"/>
                <w:sz w:val="22"/>
              </w:rPr>
              <w:t xml:space="preserve">  </w:t>
            </w:r>
          </w:p>
          <w:p w:rsidR="005E53E7" w:rsidRDefault="005E53E7" w:rsidP="00012DE2">
            <w:pPr>
              <w:cnfStyle w:val="000000100000" w:firstRow="0" w:lastRow="0" w:firstColumn="0" w:lastColumn="0" w:oddVBand="0" w:evenVBand="0" w:oddHBand="1" w:evenHBand="0" w:firstRowFirstColumn="0" w:firstRowLastColumn="0" w:lastRowFirstColumn="0" w:lastRowLastColumn="0"/>
              <w:rPr>
                <w:sz w:val="22"/>
              </w:rPr>
            </w:pPr>
          </w:p>
        </w:tc>
        <w:tc>
          <w:tcPr>
            <w:tcW w:w="2731" w:type="pct"/>
            <w:tcBorders>
              <w:bottom w:val="single" w:sz="4" w:space="0" w:color="4F81BD" w:themeColor="accent1"/>
            </w:tcBorders>
            <w:shd w:val="clear" w:color="auto" w:fill="DBE5F1" w:themeFill="accent1" w:themeFillTint="33"/>
          </w:tcPr>
          <w:p w:rsidR="005E53E7" w:rsidRPr="004A2A19" w:rsidRDefault="005E53E7" w:rsidP="00012DE2">
            <w:pPr>
              <w:cnfStyle w:val="000000100000" w:firstRow="0" w:lastRow="0" w:firstColumn="0" w:lastColumn="0" w:oddVBand="0" w:evenVBand="0" w:oddHBand="1" w:evenHBand="0" w:firstRowFirstColumn="0" w:firstRowLastColumn="0" w:lastRowFirstColumn="0" w:lastRowLastColumn="0"/>
              <w:rPr>
                <w:rFonts w:eastAsia="Calibri"/>
                <w:sz w:val="22"/>
              </w:rPr>
            </w:pPr>
          </w:p>
          <w:p w:rsidR="005E53E7" w:rsidRPr="004A2A19" w:rsidRDefault="005E53E7" w:rsidP="005E53E7">
            <w:pPr>
              <w:pStyle w:val="ListParagraph"/>
              <w:numPr>
                <w:ilvl w:val="0"/>
                <w:numId w:val="40"/>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sz w:val="22"/>
              </w:rPr>
            </w:pPr>
            <w:r w:rsidRPr="004A2A19">
              <w:rPr>
                <w:rFonts w:cs="Arial"/>
                <w:sz w:val="22"/>
              </w:rPr>
              <w:t xml:space="preserve">Independently reviews grant applications of clinical trials, innovative treatment evaluation or </w:t>
            </w:r>
            <w:proofErr w:type="gramStart"/>
            <w:r w:rsidRPr="004A2A19">
              <w:rPr>
                <w:rFonts w:cs="Arial"/>
                <w:sz w:val="22"/>
              </w:rPr>
              <w:t>community intervention studies submitted to the HRC for research funding and makes</w:t>
            </w:r>
            <w:proofErr w:type="gramEnd"/>
            <w:r w:rsidRPr="004A2A19">
              <w:rPr>
                <w:rFonts w:cs="Arial"/>
                <w:sz w:val="22"/>
              </w:rPr>
              <w:t xml:space="preserve"> recommendations on monitoring issues.</w:t>
            </w:r>
          </w:p>
          <w:p w:rsidR="005E53E7" w:rsidRPr="004A2A19" w:rsidRDefault="005E53E7" w:rsidP="005E53E7">
            <w:pPr>
              <w:pStyle w:val="ListParagraph"/>
              <w:numPr>
                <w:ilvl w:val="0"/>
                <w:numId w:val="40"/>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sz w:val="22"/>
              </w:rPr>
            </w:pPr>
            <w:r w:rsidRPr="004A2A19">
              <w:rPr>
                <w:rFonts w:cs="Arial"/>
                <w:sz w:val="22"/>
              </w:rPr>
              <w:t xml:space="preserve">Ensures HRC-funded trails requiring independent data and safety monitoring are adequately monitored, and if appropriate, constitutes trial-specific Data Monitoring Committees (DMCs).  </w:t>
            </w:r>
          </w:p>
          <w:p w:rsidR="005E53E7" w:rsidRPr="004A2A19" w:rsidRDefault="005E53E7" w:rsidP="005E53E7">
            <w:pPr>
              <w:pStyle w:val="ListParagraph"/>
              <w:numPr>
                <w:ilvl w:val="0"/>
                <w:numId w:val="40"/>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sz w:val="22"/>
              </w:rPr>
            </w:pPr>
            <w:r w:rsidRPr="004A2A19">
              <w:rPr>
                <w:rFonts w:cs="Arial"/>
                <w:sz w:val="22"/>
              </w:rPr>
              <w:t>Evaluates, advises and contributes to other independent or international DMCs on those trials funded or co-funded by the HRC.</w:t>
            </w:r>
          </w:p>
          <w:p w:rsidR="005E53E7" w:rsidRPr="004A2A19" w:rsidRDefault="005E53E7" w:rsidP="00012DE2">
            <w:pPr>
              <w:pStyle w:val="ListParagraph"/>
              <w:spacing w:after="120"/>
              <w:ind w:left="357"/>
              <w:contextualSpacing w:val="0"/>
              <w:cnfStyle w:val="000000100000" w:firstRow="0" w:lastRow="0" w:firstColumn="0" w:lastColumn="0" w:oddVBand="0" w:evenVBand="0" w:oddHBand="1" w:evenHBand="0" w:firstRowFirstColumn="0" w:firstRowLastColumn="0" w:lastRowFirstColumn="0" w:lastRowLastColumn="0"/>
              <w:rPr>
                <w:rFonts w:cs="Arial"/>
                <w:sz w:val="22"/>
              </w:rPr>
            </w:pPr>
          </w:p>
        </w:tc>
      </w:tr>
      <w:tr w:rsidR="005E53E7" w:rsidRPr="00105B90" w:rsidTr="00012DE2">
        <w:tc>
          <w:tcPr>
            <w:cnfStyle w:val="001000000000" w:firstRow="0" w:lastRow="0" w:firstColumn="1" w:lastColumn="0" w:oddVBand="0" w:evenVBand="0" w:oddHBand="0" w:evenHBand="0" w:firstRowFirstColumn="0" w:firstRowLastColumn="0" w:lastRowFirstColumn="0" w:lastRowLastColumn="0"/>
            <w:tcW w:w="1068" w:type="pct"/>
            <w:tcBorders>
              <w:top w:val="single" w:sz="4" w:space="0" w:color="4F81BD" w:themeColor="accent1"/>
              <w:bottom w:val="single" w:sz="4" w:space="0" w:color="4F81BD" w:themeColor="accent1"/>
            </w:tcBorders>
            <w:shd w:val="clear" w:color="auto" w:fill="auto"/>
          </w:tcPr>
          <w:p w:rsidR="005E53E7" w:rsidRDefault="005E53E7" w:rsidP="00012DE2">
            <w:pPr>
              <w:rPr>
                <w:sz w:val="22"/>
              </w:rPr>
            </w:pPr>
          </w:p>
          <w:p w:rsidR="005E53E7" w:rsidRPr="00FC2FE6" w:rsidRDefault="005E53E7" w:rsidP="00012DE2">
            <w:pPr>
              <w:rPr>
                <w:b w:val="0"/>
                <w:sz w:val="22"/>
              </w:rPr>
            </w:pPr>
            <w:r w:rsidRPr="00F11A68">
              <w:rPr>
                <w:sz w:val="22"/>
              </w:rPr>
              <w:t>Ethics Advisory Committee on Assisted Reproductive Technology</w:t>
            </w:r>
          </w:p>
          <w:p w:rsidR="005E53E7" w:rsidRDefault="005E53E7" w:rsidP="00012DE2">
            <w:pPr>
              <w:rPr>
                <w:sz w:val="22"/>
              </w:rPr>
            </w:pPr>
          </w:p>
        </w:tc>
        <w:tc>
          <w:tcPr>
            <w:tcW w:w="1201" w:type="pct"/>
            <w:shd w:val="clear" w:color="auto" w:fill="auto"/>
          </w:tcPr>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p>
          <w:p w:rsidR="005E53E7" w:rsidRPr="00FC2FE6" w:rsidRDefault="005E53E7" w:rsidP="00012DE2">
            <w:pPr>
              <w:cnfStyle w:val="000000000000" w:firstRow="0" w:lastRow="0" w:firstColumn="0" w:lastColumn="0" w:oddVBand="0" w:evenVBand="0" w:oddHBand="0" w:evenHBand="0" w:firstRowFirstColumn="0" w:firstRowLastColumn="0" w:lastRowFirstColumn="0" w:lastRowLastColumn="0"/>
              <w:rPr>
                <w:b/>
                <w:sz w:val="22"/>
              </w:rPr>
            </w:pPr>
            <w:r>
              <w:rPr>
                <w:sz w:val="22"/>
              </w:rPr>
              <w:t xml:space="preserve">Established under </w:t>
            </w:r>
            <w:r w:rsidRPr="00F11A68">
              <w:rPr>
                <w:sz w:val="22"/>
              </w:rPr>
              <w:t xml:space="preserve">section 27 of the </w:t>
            </w:r>
            <w:r w:rsidRPr="005567CB">
              <w:rPr>
                <w:sz w:val="22"/>
              </w:rPr>
              <w:t>Human Assisted R</w:t>
            </w:r>
            <w:r>
              <w:rPr>
                <w:sz w:val="22"/>
              </w:rPr>
              <w:t>eproductive Technology Act 2004.</w:t>
            </w:r>
          </w:p>
        </w:tc>
        <w:tc>
          <w:tcPr>
            <w:tcW w:w="2731" w:type="pct"/>
            <w:shd w:val="clear" w:color="auto" w:fill="auto"/>
          </w:tcPr>
          <w:p w:rsidR="005E53E7" w:rsidRDefault="005E53E7" w:rsidP="00012DE2">
            <w:pPr>
              <w:pStyle w:val="ListParagraph"/>
              <w:ind w:left="360"/>
              <w:cnfStyle w:val="000000000000" w:firstRow="0" w:lastRow="0" w:firstColumn="0" w:lastColumn="0" w:oddVBand="0" w:evenVBand="0" w:oddHBand="0" w:evenHBand="0" w:firstRowFirstColumn="0" w:firstRowLastColumn="0" w:lastRowFirstColumn="0" w:lastRowLastColumn="0"/>
              <w:rPr>
                <w:sz w:val="22"/>
              </w:rPr>
            </w:pPr>
          </w:p>
          <w:p w:rsidR="005E53E7" w:rsidRDefault="005E53E7" w:rsidP="005E53E7">
            <w:pPr>
              <w:pStyle w:val="ListParagraph"/>
              <w:numPr>
                <w:ilvl w:val="0"/>
                <w:numId w:val="39"/>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sz w:val="22"/>
              </w:rPr>
            </w:pPr>
            <w:r>
              <w:rPr>
                <w:sz w:val="22"/>
              </w:rPr>
              <w:t>Considers</w:t>
            </w:r>
            <w:r w:rsidRPr="00C546D9">
              <w:rPr>
                <w:sz w:val="22"/>
              </w:rPr>
              <w:t xml:space="preserve"> and determine</w:t>
            </w:r>
            <w:r>
              <w:rPr>
                <w:sz w:val="22"/>
              </w:rPr>
              <w:t>s</w:t>
            </w:r>
            <w:r w:rsidRPr="00C546D9">
              <w:rPr>
                <w:sz w:val="22"/>
              </w:rPr>
              <w:t xml:space="preserve"> applications for assisted reproductive procedures and human reproductive research.</w:t>
            </w:r>
          </w:p>
          <w:p w:rsidR="005E53E7" w:rsidRPr="001977FF" w:rsidRDefault="005E53E7" w:rsidP="005E53E7">
            <w:pPr>
              <w:pStyle w:val="ListParagraph"/>
              <w:numPr>
                <w:ilvl w:val="0"/>
                <w:numId w:val="39"/>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sz w:val="22"/>
              </w:rPr>
            </w:pPr>
            <w:r w:rsidRPr="001977FF">
              <w:rPr>
                <w:sz w:val="22"/>
              </w:rPr>
              <w:t xml:space="preserve">Under the HART Act, it is an offence to carry out such procedures or research without prior written ethics committee approval.  </w:t>
            </w:r>
          </w:p>
          <w:p w:rsidR="005E53E7" w:rsidRPr="001977FF" w:rsidRDefault="005E53E7" w:rsidP="00012DE2">
            <w:pPr>
              <w:cnfStyle w:val="000000000000" w:firstRow="0" w:lastRow="0" w:firstColumn="0" w:lastColumn="0" w:oddVBand="0" w:evenVBand="0" w:oddHBand="0" w:evenHBand="0" w:firstRowFirstColumn="0" w:firstRowLastColumn="0" w:lastRowFirstColumn="0" w:lastRowLastColumn="0"/>
              <w:rPr>
                <w:sz w:val="22"/>
              </w:rPr>
            </w:pPr>
          </w:p>
        </w:tc>
      </w:tr>
    </w:tbl>
    <w:p w:rsidR="006965F5" w:rsidRDefault="006965F5">
      <w:r>
        <w:rPr>
          <w:b/>
          <w:bCs/>
        </w:rPr>
        <w:br w:type="page"/>
      </w:r>
    </w:p>
    <w:tbl>
      <w:tblPr>
        <w:tblStyle w:val="LightList-Accent1"/>
        <w:tblW w:w="5000" w:type="pct"/>
        <w:tblLook w:val="04A0" w:firstRow="1" w:lastRow="0" w:firstColumn="1" w:lastColumn="0" w:noHBand="0" w:noVBand="1"/>
      </w:tblPr>
      <w:tblGrid>
        <w:gridCol w:w="3027"/>
        <w:gridCol w:w="3405"/>
        <w:gridCol w:w="7742"/>
      </w:tblGrid>
      <w:tr w:rsidR="005E53E7" w:rsidRPr="00105B90" w:rsidTr="00012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Borders>
              <w:top w:val="single" w:sz="4" w:space="0" w:color="4F81BD" w:themeColor="accent1"/>
              <w:bottom w:val="single" w:sz="4" w:space="0" w:color="4F81BD" w:themeColor="accent1"/>
            </w:tcBorders>
            <w:shd w:val="clear" w:color="auto" w:fill="DBE5F1" w:themeFill="accent1" w:themeFillTint="33"/>
          </w:tcPr>
          <w:p w:rsidR="005E53E7" w:rsidRPr="006965F5" w:rsidRDefault="005E53E7" w:rsidP="00012DE2">
            <w:pPr>
              <w:rPr>
                <w:color w:val="auto"/>
                <w:sz w:val="22"/>
              </w:rPr>
            </w:pPr>
          </w:p>
          <w:p w:rsidR="005E53E7" w:rsidRPr="006965F5" w:rsidRDefault="005E53E7" w:rsidP="00012DE2">
            <w:pPr>
              <w:rPr>
                <w:color w:val="auto"/>
                <w:sz w:val="22"/>
              </w:rPr>
            </w:pPr>
            <w:r w:rsidRPr="006965F5">
              <w:rPr>
                <w:color w:val="auto"/>
                <w:sz w:val="22"/>
              </w:rPr>
              <w:t>Gene Technology Advisory Committee (GTAC)</w:t>
            </w:r>
          </w:p>
        </w:tc>
        <w:tc>
          <w:tcPr>
            <w:tcW w:w="1201" w:type="pct"/>
            <w:tcBorders>
              <w:top w:val="single" w:sz="4" w:space="0" w:color="4F81BD" w:themeColor="accent1"/>
              <w:bottom w:val="single" w:sz="4" w:space="0" w:color="4F81BD" w:themeColor="accent1"/>
            </w:tcBorders>
            <w:shd w:val="clear" w:color="auto" w:fill="DBE5F1" w:themeFill="accent1" w:themeFillTint="33"/>
          </w:tcPr>
          <w:p w:rsidR="005E53E7" w:rsidRPr="006965F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p>
          <w:p w:rsidR="005E53E7" w:rsidRPr="006965F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r w:rsidRPr="006965F5">
              <w:rPr>
                <w:b w:val="0"/>
                <w:color w:val="auto"/>
                <w:sz w:val="22"/>
              </w:rPr>
              <w:t>Established by the HRC.</w:t>
            </w:r>
          </w:p>
          <w:p w:rsidR="005E53E7" w:rsidRPr="006965F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p>
        </w:tc>
        <w:tc>
          <w:tcPr>
            <w:tcW w:w="2731" w:type="pct"/>
            <w:tcBorders>
              <w:top w:val="single" w:sz="4" w:space="0" w:color="4F81BD" w:themeColor="accent1"/>
              <w:bottom w:val="single" w:sz="4" w:space="0" w:color="4F81BD" w:themeColor="accent1"/>
            </w:tcBorders>
            <w:shd w:val="clear" w:color="auto" w:fill="DBE5F1" w:themeFill="accent1" w:themeFillTint="33"/>
          </w:tcPr>
          <w:p w:rsidR="005E53E7" w:rsidRPr="006965F5" w:rsidRDefault="005E53E7" w:rsidP="00012DE2">
            <w:pPr>
              <w:pStyle w:val="ListParagraph"/>
              <w:ind w:left="360"/>
              <w:cnfStyle w:val="100000000000" w:firstRow="1" w:lastRow="0" w:firstColumn="0" w:lastColumn="0" w:oddVBand="0" w:evenVBand="0" w:oddHBand="0" w:evenHBand="0" w:firstRowFirstColumn="0" w:firstRowLastColumn="0" w:lastRowFirstColumn="0" w:lastRowLastColumn="0"/>
              <w:rPr>
                <w:b w:val="0"/>
                <w:color w:val="auto"/>
                <w:sz w:val="22"/>
              </w:rPr>
            </w:pPr>
          </w:p>
          <w:p w:rsidR="005E53E7" w:rsidRPr="006965F5" w:rsidRDefault="005E53E7" w:rsidP="005E53E7">
            <w:pPr>
              <w:pStyle w:val="ListParagraph"/>
              <w:numPr>
                <w:ilvl w:val="0"/>
                <w:numId w:val="40"/>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b w:val="0"/>
                <w:color w:val="auto"/>
                <w:sz w:val="22"/>
              </w:rPr>
            </w:pPr>
            <w:r w:rsidRPr="006965F5">
              <w:rPr>
                <w:rFonts w:cs="Arial"/>
                <w:b w:val="0"/>
                <w:color w:val="auto"/>
                <w:sz w:val="22"/>
              </w:rPr>
              <w:t>Reviews proposals for clinical trials that involve introducing nucleic acids, genetically manipulated micro-organisms, or viruses or cells into human subjects.</w:t>
            </w:r>
          </w:p>
          <w:p w:rsidR="005E53E7" w:rsidRPr="006965F5" w:rsidRDefault="005E53E7" w:rsidP="005E53E7">
            <w:pPr>
              <w:pStyle w:val="ListParagraph"/>
              <w:numPr>
                <w:ilvl w:val="0"/>
                <w:numId w:val="40"/>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b w:val="0"/>
                <w:color w:val="auto"/>
                <w:sz w:val="22"/>
              </w:rPr>
            </w:pPr>
            <w:r w:rsidRPr="006965F5">
              <w:rPr>
                <w:rFonts w:cs="Arial"/>
                <w:b w:val="0"/>
                <w:color w:val="auto"/>
                <w:sz w:val="22"/>
              </w:rPr>
              <w:t xml:space="preserve">Makes recommendations </w:t>
            </w:r>
            <w:r w:rsidRPr="006965F5">
              <w:rPr>
                <w:b w:val="0"/>
                <w:color w:val="auto"/>
                <w:sz w:val="22"/>
              </w:rPr>
              <w:t xml:space="preserve">to the Director-General of Health for </w:t>
            </w:r>
            <w:r w:rsidRPr="006965F5">
              <w:rPr>
                <w:rFonts w:cs="Arial"/>
                <w:b w:val="0"/>
                <w:color w:val="auto"/>
                <w:sz w:val="22"/>
              </w:rPr>
              <w:t>an exemption under section 30 of the Medicines Act 1981 to allow trials related to gene therapy and other protocols involving administration of nucleic acids to proceed.</w:t>
            </w:r>
          </w:p>
          <w:p w:rsidR="005E53E7" w:rsidRPr="006965F5" w:rsidRDefault="005E53E7" w:rsidP="00012DE2">
            <w:pPr>
              <w:cnfStyle w:val="100000000000" w:firstRow="1" w:lastRow="0" w:firstColumn="0" w:lastColumn="0" w:oddVBand="0" w:evenVBand="0" w:oddHBand="0" w:evenHBand="0" w:firstRowFirstColumn="0" w:firstRowLastColumn="0" w:lastRowFirstColumn="0" w:lastRowLastColumn="0"/>
              <w:rPr>
                <w:b w:val="0"/>
                <w:color w:val="auto"/>
                <w:sz w:val="22"/>
              </w:rPr>
            </w:pPr>
          </w:p>
        </w:tc>
      </w:tr>
      <w:tr w:rsidR="005E53E7" w:rsidRPr="00105B90"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Borders>
              <w:top w:val="single" w:sz="4" w:space="0" w:color="4F81BD" w:themeColor="accent1"/>
            </w:tcBorders>
            <w:shd w:val="clear" w:color="auto" w:fill="auto"/>
          </w:tcPr>
          <w:p w:rsidR="005E53E7" w:rsidRPr="004A2A19" w:rsidRDefault="005E53E7" w:rsidP="00012DE2">
            <w:pPr>
              <w:rPr>
                <w:sz w:val="22"/>
              </w:rPr>
            </w:pPr>
          </w:p>
          <w:p w:rsidR="005E53E7" w:rsidRPr="004A2A19" w:rsidRDefault="005E53E7" w:rsidP="00012DE2">
            <w:pPr>
              <w:rPr>
                <w:sz w:val="22"/>
              </w:rPr>
            </w:pPr>
            <w:r w:rsidRPr="004A2A19">
              <w:rPr>
                <w:sz w:val="22"/>
              </w:rPr>
              <w:t>Health and Disability Ethics Committees (HDECs)</w:t>
            </w:r>
          </w:p>
        </w:tc>
        <w:tc>
          <w:tcPr>
            <w:tcW w:w="1201" w:type="pct"/>
            <w:tcBorders>
              <w:top w:val="single" w:sz="4" w:space="0" w:color="4F81BD" w:themeColor="accent1"/>
            </w:tcBorders>
            <w:shd w:val="clear" w:color="auto" w:fill="auto"/>
          </w:tcPr>
          <w:p w:rsidR="005E53E7" w:rsidRPr="004A2A19" w:rsidRDefault="005E53E7" w:rsidP="00012DE2">
            <w:pPr>
              <w:cnfStyle w:val="000000100000" w:firstRow="0" w:lastRow="0" w:firstColumn="0" w:lastColumn="0" w:oddVBand="0" w:evenVBand="0" w:oddHBand="1" w:evenHBand="0" w:firstRowFirstColumn="0" w:firstRowLastColumn="0" w:lastRowFirstColumn="0" w:lastRowLastColumn="0"/>
              <w:rPr>
                <w:b/>
                <w:bCs/>
                <w:sz w:val="22"/>
              </w:rPr>
            </w:pPr>
          </w:p>
          <w:p w:rsidR="005E53E7" w:rsidRPr="004A2A19" w:rsidRDefault="005E53E7" w:rsidP="00012DE2">
            <w:pPr>
              <w:cnfStyle w:val="000000100000" w:firstRow="0" w:lastRow="0" w:firstColumn="0" w:lastColumn="0" w:oddVBand="0" w:evenVBand="0" w:oddHBand="1" w:evenHBand="0" w:firstRowFirstColumn="0" w:firstRowLastColumn="0" w:lastRowFirstColumn="0" w:lastRowLastColumn="0"/>
              <w:rPr>
                <w:b/>
                <w:bCs/>
                <w:sz w:val="22"/>
              </w:rPr>
            </w:pPr>
            <w:r w:rsidRPr="004A2A19">
              <w:rPr>
                <w:sz w:val="22"/>
              </w:rPr>
              <w:t>Ministerial committees established under section 11 of the New Zealand Public Health and Disability Act.</w:t>
            </w:r>
          </w:p>
          <w:p w:rsidR="005E53E7" w:rsidRPr="004A2A19" w:rsidRDefault="005E53E7" w:rsidP="00012DE2">
            <w:pPr>
              <w:cnfStyle w:val="000000100000" w:firstRow="0" w:lastRow="0" w:firstColumn="0" w:lastColumn="0" w:oddVBand="0" w:evenVBand="0" w:oddHBand="1" w:evenHBand="0" w:firstRowFirstColumn="0" w:firstRowLastColumn="0" w:lastRowFirstColumn="0" w:lastRowLastColumn="0"/>
              <w:rPr>
                <w:b/>
                <w:bCs/>
                <w:sz w:val="22"/>
              </w:rPr>
            </w:pPr>
          </w:p>
          <w:p w:rsidR="005E53E7" w:rsidRPr="004A2A19" w:rsidRDefault="005E53E7" w:rsidP="00012DE2">
            <w:pPr>
              <w:cnfStyle w:val="000000100000" w:firstRow="0" w:lastRow="0" w:firstColumn="0" w:lastColumn="0" w:oddVBand="0" w:evenVBand="0" w:oddHBand="1" w:evenHBand="0" w:firstRowFirstColumn="0" w:firstRowLastColumn="0" w:lastRowFirstColumn="0" w:lastRowLastColumn="0"/>
              <w:rPr>
                <w:b/>
                <w:bCs/>
                <w:sz w:val="22"/>
              </w:rPr>
            </w:pPr>
            <w:r w:rsidRPr="004A2A19">
              <w:rPr>
                <w:sz w:val="22"/>
              </w:rPr>
              <w:t>There are four HDECs: Northern A, Northern B, Central and Southern.</w:t>
            </w:r>
          </w:p>
          <w:p w:rsidR="005E53E7" w:rsidRPr="004A2A19" w:rsidRDefault="005E53E7" w:rsidP="00012DE2">
            <w:pPr>
              <w:cnfStyle w:val="000000100000" w:firstRow="0" w:lastRow="0" w:firstColumn="0" w:lastColumn="0" w:oddVBand="0" w:evenVBand="0" w:oddHBand="1" w:evenHBand="0" w:firstRowFirstColumn="0" w:firstRowLastColumn="0" w:lastRowFirstColumn="0" w:lastRowLastColumn="0"/>
              <w:rPr>
                <w:b/>
                <w:bCs/>
                <w:sz w:val="22"/>
              </w:rPr>
            </w:pPr>
          </w:p>
        </w:tc>
        <w:tc>
          <w:tcPr>
            <w:tcW w:w="2731" w:type="pct"/>
            <w:tcBorders>
              <w:top w:val="single" w:sz="4" w:space="0" w:color="4F81BD" w:themeColor="accent1"/>
            </w:tcBorders>
            <w:shd w:val="clear" w:color="auto" w:fill="auto"/>
          </w:tcPr>
          <w:p w:rsidR="005E53E7" w:rsidRPr="004A2A19" w:rsidRDefault="005E53E7" w:rsidP="00012DE2">
            <w:pPr>
              <w:pStyle w:val="ListParagraph"/>
              <w:ind w:left="360"/>
              <w:cnfStyle w:val="000000100000" w:firstRow="0" w:lastRow="0" w:firstColumn="0" w:lastColumn="0" w:oddVBand="0" w:evenVBand="0" w:oddHBand="1" w:evenHBand="0" w:firstRowFirstColumn="0" w:firstRowLastColumn="0" w:lastRowFirstColumn="0" w:lastRowLastColumn="0"/>
              <w:rPr>
                <w:b/>
                <w:bCs/>
                <w:sz w:val="22"/>
              </w:rPr>
            </w:pPr>
          </w:p>
          <w:p w:rsidR="005E53E7" w:rsidRPr="004A2A19" w:rsidRDefault="005E53E7" w:rsidP="005E53E7">
            <w:pPr>
              <w:pStyle w:val="ListParagraph"/>
              <w:numPr>
                <w:ilvl w:val="0"/>
                <w:numId w:val="38"/>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b/>
                <w:bCs/>
                <w:sz w:val="22"/>
              </w:rPr>
            </w:pPr>
            <w:r w:rsidRPr="004A2A19">
              <w:rPr>
                <w:sz w:val="22"/>
              </w:rPr>
              <w:t>Secures the benefits of health and disability research by checking that it meets or exceeds established ethical standards.</w:t>
            </w:r>
          </w:p>
          <w:p w:rsidR="005E53E7" w:rsidRPr="004A2A19" w:rsidRDefault="005E53E7" w:rsidP="005E53E7">
            <w:pPr>
              <w:pStyle w:val="ListParagraph"/>
              <w:numPr>
                <w:ilvl w:val="0"/>
                <w:numId w:val="38"/>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b/>
                <w:bCs/>
                <w:sz w:val="22"/>
              </w:rPr>
            </w:pPr>
            <w:r w:rsidRPr="004A2A19">
              <w:rPr>
                <w:sz w:val="22"/>
              </w:rPr>
              <w:t xml:space="preserve">HDECs are required to act in accordance with the procedural rules and guidance contained in the Standard Operating Procedures for HDECs. </w:t>
            </w:r>
          </w:p>
        </w:tc>
      </w:tr>
      <w:tr w:rsidR="005E53E7" w:rsidRPr="00105B90" w:rsidTr="00012DE2">
        <w:tc>
          <w:tcPr>
            <w:cnfStyle w:val="001000000000" w:firstRow="0" w:lastRow="0" w:firstColumn="1" w:lastColumn="0" w:oddVBand="0" w:evenVBand="0" w:oddHBand="0" w:evenHBand="0" w:firstRowFirstColumn="0" w:firstRowLastColumn="0" w:lastRowFirstColumn="0" w:lastRowLastColumn="0"/>
            <w:tcW w:w="1068" w:type="pct"/>
            <w:shd w:val="clear" w:color="auto" w:fill="DBE5F1" w:themeFill="accent1" w:themeFillTint="33"/>
          </w:tcPr>
          <w:p w:rsidR="005E53E7" w:rsidRDefault="005E53E7" w:rsidP="00012DE2">
            <w:pPr>
              <w:rPr>
                <w:sz w:val="22"/>
              </w:rPr>
            </w:pPr>
          </w:p>
          <w:p w:rsidR="005E53E7" w:rsidRDefault="005E53E7" w:rsidP="00012DE2">
            <w:pPr>
              <w:rPr>
                <w:sz w:val="22"/>
              </w:rPr>
            </w:pPr>
            <w:r>
              <w:rPr>
                <w:sz w:val="22"/>
              </w:rPr>
              <w:t>Health Research Council</w:t>
            </w:r>
          </w:p>
          <w:p w:rsidR="005E53E7" w:rsidRPr="00105B90" w:rsidRDefault="005E53E7" w:rsidP="00012DE2">
            <w:pPr>
              <w:rPr>
                <w:sz w:val="22"/>
              </w:rPr>
            </w:pPr>
            <w:r>
              <w:rPr>
                <w:sz w:val="22"/>
              </w:rPr>
              <w:t>(HRC)</w:t>
            </w:r>
          </w:p>
        </w:tc>
        <w:tc>
          <w:tcPr>
            <w:tcW w:w="1201" w:type="pct"/>
            <w:shd w:val="clear" w:color="auto" w:fill="DBE5F1" w:themeFill="accent1" w:themeFillTint="33"/>
          </w:tcPr>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p>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r w:rsidRPr="005567CB">
              <w:rPr>
                <w:sz w:val="22"/>
              </w:rPr>
              <w:t xml:space="preserve">Established under </w:t>
            </w:r>
            <w:r>
              <w:rPr>
                <w:sz w:val="22"/>
              </w:rPr>
              <w:t xml:space="preserve">the </w:t>
            </w:r>
            <w:r w:rsidRPr="005567CB">
              <w:rPr>
                <w:sz w:val="22"/>
              </w:rPr>
              <w:t>Health Research Council Act 1990.</w:t>
            </w:r>
            <w:r>
              <w:rPr>
                <w:sz w:val="22"/>
              </w:rPr>
              <w:t xml:space="preserve">  </w:t>
            </w:r>
          </w:p>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p>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r>
              <w:rPr>
                <w:sz w:val="22"/>
              </w:rPr>
              <w:t>Members are appointed by the Minister of Health.</w:t>
            </w:r>
          </w:p>
          <w:p w:rsidR="005E53E7" w:rsidRPr="00105B90" w:rsidRDefault="005E53E7" w:rsidP="00012DE2">
            <w:pPr>
              <w:cnfStyle w:val="000000000000" w:firstRow="0" w:lastRow="0" w:firstColumn="0" w:lastColumn="0" w:oddVBand="0" w:evenVBand="0" w:oddHBand="0" w:evenHBand="0" w:firstRowFirstColumn="0" w:firstRowLastColumn="0" w:lastRowFirstColumn="0" w:lastRowLastColumn="0"/>
              <w:rPr>
                <w:sz w:val="22"/>
              </w:rPr>
            </w:pPr>
          </w:p>
        </w:tc>
        <w:tc>
          <w:tcPr>
            <w:tcW w:w="2731" w:type="pct"/>
            <w:shd w:val="clear" w:color="auto" w:fill="DBE5F1" w:themeFill="accent1" w:themeFillTint="33"/>
          </w:tcPr>
          <w:p w:rsidR="005E53E7" w:rsidRDefault="005E53E7" w:rsidP="00012DE2">
            <w:pPr>
              <w:pStyle w:val="ListParagraph"/>
              <w:ind w:left="360"/>
              <w:cnfStyle w:val="000000000000" w:firstRow="0" w:lastRow="0" w:firstColumn="0" w:lastColumn="0" w:oddVBand="0" w:evenVBand="0" w:oddHBand="0" w:evenHBand="0" w:firstRowFirstColumn="0" w:firstRowLastColumn="0" w:lastRowFirstColumn="0" w:lastRowLastColumn="0"/>
              <w:rPr>
                <w:sz w:val="22"/>
              </w:rPr>
            </w:pPr>
          </w:p>
          <w:p w:rsidR="005E53E7" w:rsidRPr="004A2A19" w:rsidRDefault="005E53E7" w:rsidP="005E53E7">
            <w:pPr>
              <w:pStyle w:val="ListParagraph"/>
              <w:numPr>
                <w:ilvl w:val="0"/>
                <w:numId w:val="37"/>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sz w:val="22"/>
              </w:rPr>
            </w:pPr>
            <w:r w:rsidRPr="00C77260">
              <w:rPr>
                <w:sz w:val="22"/>
              </w:rPr>
              <w:t>Advise</w:t>
            </w:r>
            <w:r>
              <w:rPr>
                <w:sz w:val="22"/>
              </w:rPr>
              <w:t>s</w:t>
            </w:r>
            <w:r w:rsidRPr="00C77260">
              <w:rPr>
                <w:sz w:val="22"/>
              </w:rPr>
              <w:t xml:space="preserve"> the Minister of Health on national health research policy and administer</w:t>
            </w:r>
            <w:r>
              <w:rPr>
                <w:sz w:val="22"/>
              </w:rPr>
              <w:t>s</w:t>
            </w:r>
            <w:r w:rsidRPr="00C77260">
              <w:rPr>
                <w:sz w:val="22"/>
              </w:rPr>
              <w:t xml:space="preserve"> government funding for the purpose of implementing that policy.</w:t>
            </w:r>
            <w:r w:rsidRPr="004A2A19">
              <w:rPr>
                <w:sz w:val="22"/>
              </w:rPr>
              <w:t xml:space="preserve"> </w:t>
            </w:r>
          </w:p>
          <w:p w:rsidR="005E53E7" w:rsidRPr="004A2A19" w:rsidRDefault="005E53E7" w:rsidP="005E53E7">
            <w:pPr>
              <w:pStyle w:val="ListParagraph"/>
              <w:numPr>
                <w:ilvl w:val="0"/>
                <w:numId w:val="37"/>
              </w:numPr>
              <w:ind w:left="357" w:hanging="357"/>
              <w:contextualSpacing w:val="0"/>
              <w:cnfStyle w:val="000000000000" w:firstRow="0" w:lastRow="0" w:firstColumn="0" w:lastColumn="0" w:oddVBand="0" w:evenVBand="0" w:oddHBand="0" w:evenHBand="0" w:firstRowFirstColumn="0" w:firstRowLastColumn="0" w:lastRowFirstColumn="0" w:lastRowLastColumn="0"/>
              <w:rPr>
                <w:sz w:val="22"/>
              </w:rPr>
            </w:pPr>
            <w:r>
              <w:rPr>
                <w:sz w:val="22"/>
              </w:rPr>
              <w:t>S</w:t>
            </w:r>
            <w:r w:rsidRPr="004A2A19">
              <w:rPr>
                <w:sz w:val="22"/>
              </w:rPr>
              <w:t>upports research that has the potential to improve health outcomes and delivery of healthcare, and to produce economic gain for New Zealand</w:t>
            </w:r>
            <w:r>
              <w:rPr>
                <w:sz w:val="22"/>
              </w:rPr>
              <w:t>.</w:t>
            </w:r>
          </w:p>
          <w:p w:rsidR="005E53E7" w:rsidRPr="00C77260" w:rsidRDefault="005E53E7" w:rsidP="00012DE2">
            <w:pPr>
              <w:pStyle w:val="ListParagraph"/>
              <w:ind w:left="360"/>
              <w:cnfStyle w:val="000000000000" w:firstRow="0" w:lastRow="0" w:firstColumn="0" w:lastColumn="0" w:oddVBand="0" w:evenVBand="0" w:oddHBand="0" w:evenHBand="0" w:firstRowFirstColumn="0" w:firstRowLastColumn="0" w:lastRowFirstColumn="0" w:lastRowLastColumn="0"/>
              <w:rPr>
                <w:sz w:val="22"/>
              </w:rPr>
            </w:pPr>
          </w:p>
        </w:tc>
      </w:tr>
      <w:tr w:rsidR="005E53E7" w:rsidRPr="00105B90"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Pr>
          <w:p w:rsidR="005E53E7" w:rsidRDefault="005E53E7" w:rsidP="00012DE2">
            <w:pPr>
              <w:rPr>
                <w:sz w:val="22"/>
              </w:rPr>
            </w:pPr>
          </w:p>
          <w:p w:rsidR="005E53E7" w:rsidRDefault="005E53E7" w:rsidP="00012DE2">
            <w:pPr>
              <w:rPr>
                <w:sz w:val="22"/>
              </w:rPr>
            </w:pPr>
            <w:r>
              <w:rPr>
                <w:sz w:val="22"/>
              </w:rPr>
              <w:t>Health Research Council Ethics Committee</w:t>
            </w:r>
          </w:p>
          <w:p w:rsidR="005E53E7" w:rsidRDefault="005E53E7" w:rsidP="00012DE2">
            <w:pPr>
              <w:rPr>
                <w:sz w:val="22"/>
              </w:rPr>
            </w:pPr>
            <w:r>
              <w:rPr>
                <w:sz w:val="22"/>
              </w:rPr>
              <w:t>(HRCEC)</w:t>
            </w:r>
          </w:p>
        </w:tc>
        <w:tc>
          <w:tcPr>
            <w:tcW w:w="1201" w:type="pct"/>
          </w:tcPr>
          <w:p w:rsidR="005E53E7" w:rsidRDefault="005E53E7" w:rsidP="00012DE2">
            <w:pPr>
              <w:cnfStyle w:val="000000100000" w:firstRow="0" w:lastRow="0" w:firstColumn="0" w:lastColumn="0" w:oddVBand="0" w:evenVBand="0" w:oddHBand="1" w:evenHBand="0" w:firstRowFirstColumn="0" w:firstRowLastColumn="0" w:lastRowFirstColumn="0" w:lastRowLastColumn="0"/>
              <w:rPr>
                <w:sz w:val="22"/>
              </w:rPr>
            </w:pPr>
          </w:p>
          <w:p w:rsidR="005E53E7" w:rsidRDefault="005E53E7" w:rsidP="00012DE2">
            <w:pPr>
              <w:cnfStyle w:val="000000100000" w:firstRow="0" w:lastRow="0" w:firstColumn="0" w:lastColumn="0" w:oddVBand="0" w:evenVBand="0" w:oddHBand="1" w:evenHBand="0" w:firstRowFirstColumn="0" w:firstRowLastColumn="0" w:lastRowFirstColumn="0" w:lastRowLastColumn="0"/>
              <w:rPr>
                <w:sz w:val="22"/>
              </w:rPr>
            </w:pPr>
            <w:r>
              <w:rPr>
                <w:sz w:val="22"/>
              </w:rPr>
              <w:t>An HRC committee e</w:t>
            </w:r>
            <w:r w:rsidRPr="005567CB">
              <w:rPr>
                <w:sz w:val="22"/>
              </w:rPr>
              <w:t>stablished under s</w:t>
            </w:r>
            <w:r>
              <w:rPr>
                <w:sz w:val="22"/>
              </w:rPr>
              <w:t>ection</w:t>
            </w:r>
            <w:r w:rsidRPr="005567CB">
              <w:rPr>
                <w:sz w:val="22"/>
              </w:rPr>
              <w:t xml:space="preserve"> 24 of the H</w:t>
            </w:r>
            <w:r>
              <w:rPr>
                <w:sz w:val="22"/>
              </w:rPr>
              <w:t>ealth Research Council A</w:t>
            </w:r>
            <w:r w:rsidRPr="005567CB">
              <w:rPr>
                <w:sz w:val="22"/>
              </w:rPr>
              <w:t>ct</w:t>
            </w:r>
            <w:r>
              <w:rPr>
                <w:sz w:val="22"/>
              </w:rPr>
              <w:t xml:space="preserve"> 1990</w:t>
            </w:r>
            <w:r w:rsidRPr="005567CB">
              <w:rPr>
                <w:sz w:val="22"/>
              </w:rPr>
              <w:t>.</w:t>
            </w:r>
            <w:r>
              <w:rPr>
                <w:sz w:val="22"/>
              </w:rPr>
              <w:t xml:space="preserve"> </w:t>
            </w:r>
          </w:p>
          <w:p w:rsidR="005E53E7" w:rsidRDefault="005E53E7" w:rsidP="00012DE2">
            <w:pPr>
              <w:cnfStyle w:val="000000100000" w:firstRow="0" w:lastRow="0" w:firstColumn="0" w:lastColumn="0" w:oddVBand="0" w:evenVBand="0" w:oddHBand="1" w:evenHBand="0" w:firstRowFirstColumn="0" w:firstRowLastColumn="0" w:lastRowFirstColumn="0" w:lastRowLastColumn="0"/>
              <w:rPr>
                <w:sz w:val="22"/>
              </w:rPr>
            </w:pPr>
          </w:p>
          <w:p w:rsidR="005E53E7" w:rsidRPr="00105B90" w:rsidRDefault="005E53E7" w:rsidP="00012DE2">
            <w:pPr>
              <w:cnfStyle w:val="000000100000" w:firstRow="0" w:lastRow="0" w:firstColumn="0" w:lastColumn="0" w:oddVBand="0" w:evenVBand="0" w:oddHBand="1" w:evenHBand="0" w:firstRowFirstColumn="0" w:firstRowLastColumn="0" w:lastRowFirstColumn="0" w:lastRowLastColumn="0"/>
              <w:rPr>
                <w:sz w:val="22"/>
              </w:rPr>
            </w:pPr>
            <w:r>
              <w:rPr>
                <w:sz w:val="22"/>
              </w:rPr>
              <w:t>Members are appointed by the HRC.</w:t>
            </w:r>
          </w:p>
        </w:tc>
        <w:tc>
          <w:tcPr>
            <w:tcW w:w="2731" w:type="pct"/>
          </w:tcPr>
          <w:p w:rsidR="005E53E7" w:rsidRDefault="005E53E7"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5E53E7" w:rsidRDefault="005E53E7" w:rsidP="005E53E7">
            <w:pPr>
              <w:pStyle w:val="ListParagraph"/>
              <w:numPr>
                <w:ilvl w:val="0"/>
                <w:numId w:val="3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Pr>
                <w:sz w:val="22"/>
              </w:rPr>
              <w:t>Ensures HRC-funded research has an independent ethical assessment by the HRCEC itself or by an ethics committee approved by the HRCEC.</w:t>
            </w:r>
          </w:p>
          <w:p w:rsidR="005E53E7" w:rsidRDefault="005E53E7" w:rsidP="005A3134">
            <w:pPr>
              <w:pStyle w:val="ListParagraph"/>
              <w:numPr>
                <w:ilvl w:val="0"/>
                <w:numId w:val="3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sidRPr="004A2A19">
              <w:rPr>
                <w:sz w:val="22"/>
              </w:rPr>
              <w:t xml:space="preserve">Approves ethics committees that conduct ethical review and provides advice about membership, procedures and standards </w:t>
            </w:r>
            <w:r w:rsidR="006965F5">
              <w:rPr>
                <w:sz w:val="22"/>
              </w:rPr>
              <w:t>for</w:t>
            </w:r>
            <w:r w:rsidRPr="004A2A19">
              <w:rPr>
                <w:sz w:val="22"/>
              </w:rPr>
              <w:t xml:space="preserve"> ethics committees.</w:t>
            </w:r>
          </w:p>
          <w:p w:rsidR="005A3134" w:rsidRDefault="00CA57B2" w:rsidP="00CA57B2">
            <w:pPr>
              <w:pStyle w:val="ListParagraph"/>
              <w:numPr>
                <w:ilvl w:val="0"/>
                <w:numId w:val="3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Pr>
                <w:sz w:val="22"/>
              </w:rPr>
              <w:t>Provides final and binding decisions on HDECs for applicants appeal</w:t>
            </w:r>
            <w:r w:rsidR="00936691">
              <w:rPr>
                <w:sz w:val="22"/>
              </w:rPr>
              <w:t>ing</w:t>
            </w:r>
            <w:r>
              <w:rPr>
                <w:sz w:val="22"/>
              </w:rPr>
              <w:t xml:space="preserve"> an HDEC decision to </w:t>
            </w:r>
            <w:proofErr w:type="gramStart"/>
            <w:r>
              <w:rPr>
                <w:sz w:val="22"/>
              </w:rPr>
              <w:t>decline,</w:t>
            </w:r>
            <w:proofErr w:type="gramEnd"/>
            <w:r>
              <w:rPr>
                <w:sz w:val="22"/>
              </w:rPr>
              <w:t xml:space="preserve"> suspend or cancel approval of a research application.</w:t>
            </w:r>
          </w:p>
          <w:p w:rsidR="00CA57B2" w:rsidRDefault="00CA57B2" w:rsidP="00CA57B2">
            <w:pPr>
              <w:pStyle w:val="ListParagraph"/>
              <w:numPr>
                <w:ilvl w:val="0"/>
                <w:numId w:val="3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Pr>
                <w:sz w:val="22"/>
              </w:rPr>
              <w:t>Provides second opinions for an applicant or an ethics committee, on a proposal that has been submitted for ethical review to an accredited ethics committee.</w:t>
            </w:r>
          </w:p>
          <w:p w:rsidR="00CA57B2" w:rsidRPr="00C77260" w:rsidRDefault="00936691" w:rsidP="00936691">
            <w:pPr>
              <w:pStyle w:val="ListParagraph"/>
              <w:numPr>
                <w:ilvl w:val="0"/>
                <w:numId w:val="3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Pr>
                <w:sz w:val="22"/>
              </w:rPr>
              <w:t>Provides independent comment on ethical problems that may arise in health research.</w:t>
            </w:r>
          </w:p>
        </w:tc>
      </w:tr>
      <w:tr w:rsidR="005E53E7" w:rsidRPr="00105B90" w:rsidTr="00012DE2">
        <w:tc>
          <w:tcPr>
            <w:cnfStyle w:val="001000000000" w:firstRow="0" w:lastRow="0" w:firstColumn="1" w:lastColumn="0" w:oddVBand="0" w:evenVBand="0" w:oddHBand="0" w:evenHBand="0" w:firstRowFirstColumn="0" w:firstRowLastColumn="0" w:lastRowFirstColumn="0" w:lastRowLastColumn="0"/>
            <w:tcW w:w="1068" w:type="pct"/>
            <w:shd w:val="clear" w:color="auto" w:fill="DBE5F1" w:themeFill="accent1" w:themeFillTint="33"/>
          </w:tcPr>
          <w:p w:rsidR="005E53E7" w:rsidRDefault="005E53E7" w:rsidP="00012DE2">
            <w:pPr>
              <w:rPr>
                <w:sz w:val="22"/>
              </w:rPr>
            </w:pPr>
          </w:p>
          <w:p w:rsidR="005E53E7" w:rsidRPr="00105B90" w:rsidRDefault="005E53E7" w:rsidP="00012DE2">
            <w:pPr>
              <w:rPr>
                <w:sz w:val="22"/>
              </w:rPr>
            </w:pPr>
            <w:r w:rsidRPr="00105B90">
              <w:rPr>
                <w:sz w:val="22"/>
              </w:rPr>
              <w:t>National Ethics Advisory Committee (NEAC)</w:t>
            </w:r>
          </w:p>
        </w:tc>
        <w:tc>
          <w:tcPr>
            <w:tcW w:w="1201" w:type="pct"/>
            <w:shd w:val="clear" w:color="auto" w:fill="DBE5F1" w:themeFill="accent1" w:themeFillTint="33"/>
          </w:tcPr>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p>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r w:rsidRPr="005567CB">
              <w:rPr>
                <w:sz w:val="22"/>
              </w:rPr>
              <w:t>Established under the New Zealand Public Health and Disability Act 2000.</w:t>
            </w:r>
            <w:r>
              <w:rPr>
                <w:sz w:val="22"/>
              </w:rPr>
              <w:t xml:space="preserve">  </w:t>
            </w:r>
          </w:p>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p>
          <w:p w:rsidR="005E53E7" w:rsidRDefault="005E53E7" w:rsidP="00012DE2">
            <w:pPr>
              <w:cnfStyle w:val="000000000000" w:firstRow="0" w:lastRow="0" w:firstColumn="0" w:lastColumn="0" w:oddVBand="0" w:evenVBand="0" w:oddHBand="0" w:evenHBand="0" w:firstRowFirstColumn="0" w:firstRowLastColumn="0" w:lastRowFirstColumn="0" w:lastRowLastColumn="0"/>
              <w:rPr>
                <w:sz w:val="22"/>
              </w:rPr>
            </w:pPr>
            <w:r>
              <w:rPr>
                <w:sz w:val="22"/>
              </w:rPr>
              <w:t>Members are appointed by the Minister of Health.</w:t>
            </w:r>
          </w:p>
          <w:p w:rsidR="006965F5" w:rsidRPr="00105B90" w:rsidRDefault="006965F5" w:rsidP="00012DE2">
            <w:pPr>
              <w:cnfStyle w:val="000000000000" w:firstRow="0" w:lastRow="0" w:firstColumn="0" w:lastColumn="0" w:oddVBand="0" w:evenVBand="0" w:oddHBand="0" w:evenHBand="0" w:firstRowFirstColumn="0" w:firstRowLastColumn="0" w:lastRowFirstColumn="0" w:lastRowLastColumn="0"/>
              <w:rPr>
                <w:sz w:val="22"/>
              </w:rPr>
            </w:pPr>
          </w:p>
        </w:tc>
        <w:tc>
          <w:tcPr>
            <w:tcW w:w="2731" w:type="pct"/>
            <w:shd w:val="clear" w:color="auto" w:fill="DBE5F1" w:themeFill="accent1" w:themeFillTint="33"/>
          </w:tcPr>
          <w:p w:rsidR="005E53E7" w:rsidRDefault="005E53E7" w:rsidP="00012DE2">
            <w:pPr>
              <w:pStyle w:val="ListParagraph"/>
              <w:ind w:left="360"/>
              <w:cnfStyle w:val="000000000000" w:firstRow="0" w:lastRow="0" w:firstColumn="0" w:lastColumn="0" w:oddVBand="0" w:evenVBand="0" w:oddHBand="0" w:evenHBand="0" w:firstRowFirstColumn="0" w:firstRowLastColumn="0" w:lastRowFirstColumn="0" w:lastRowLastColumn="0"/>
              <w:rPr>
                <w:sz w:val="22"/>
              </w:rPr>
            </w:pPr>
          </w:p>
          <w:p w:rsidR="005E53E7" w:rsidRPr="00105B90" w:rsidRDefault="005E53E7" w:rsidP="005E53E7">
            <w:pPr>
              <w:pStyle w:val="ListParagraph"/>
              <w:numPr>
                <w:ilvl w:val="0"/>
                <w:numId w:val="36"/>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sz w:val="22"/>
              </w:rPr>
            </w:pPr>
            <w:r w:rsidRPr="00105B90">
              <w:rPr>
                <w:sz w:val="22"/>
              </w:rPr>
              <w:t>Provide</w:t>
            </w:r>
            <w:r>
              <w:rPr>
                <w:sz w:val="22"/>
              </w:rPr>
              <w:t>s</w:t>
            </w:r>
            <w:r w:rsidRPr="00105B90">
              <w:rPr>
                <w:sz w:val="22"/>
              </w:rPr>
              <w:t xml:space="preserve"> advice to the Minister of Health on ethical issues </w:t>
            </w:r>
            <w:r>
              <w:rPr>
                <w:sz w:val="22"/>
              </w:rPr>
              <w:t xml:space="preserve">in health services and </w:t>
            </w:r>
            <w:r w:rsidRPr="00105B90">
              <w:rPr>
                <w:sz w:val="22"/>
              </w:rPr>
              <w:t>research</w:t>
            </w:r>
            <w:r>
              <w:rPr>
                <w:sz w:val="22"/>
              </w:rPr>
              <w:t>.</w:t>
            </w:r>
          </w:p>
          <w:p w:rsidR="005E53E7" w:rsidRPr="004A2A19" w:rsidRDefault="005E53E7" w:rsidP="005E53E7">
            <w:pPr>
              <w:pStyle w:val="ListParagraph"/>
              <w:numPr>
                <w:ilvl w:val="0"/>
                <w:numId w:val="36"/>
              </w:numPr>
              <w:ind w:left="357" w:hanging="357"/>
              <w:contextualSpacing w:val="0"/>
              <w:cnfStyle w:val="000000000000" w:firstRow="0" w:lastRow="0" w:firstColumn="0" w:lastColumn="0" w:oddVBand="0" w:evenVBand="0" w:oddHBand="0" w:evenHBand="0" w:firstRowFirstColumn="0" w:firstRowLastColumn="0" w:lastRowFirstColumn="0" w:lastRowLastColumn="0"/>
              <w:rPr>
                <w:sz w:val="22"/>
              </w:rPr>
            </w:pPr>
            <w:r w:rsidRPr="004A2A19">
              <w:rPr>
                <w:sz w:val="22"/>
              </w:rPr>
              <w:t xml:space="preserve">Determines national ethical standards across the health and disability sector.  </w:t>
            </w:r>
          </w:p>
          <w:p w:rsidR="005E53E7" w:rsidRPr="00105B90" w:rsidRDefault="005E53E7" w:rsidP="00012DE2">
            <w:pPr>
              <w:pStyle w:val="ListParagraph"/>
              <w:ind w:left="360"/>
              <w:cnfStyle w:val="000000000000" w:firstRow="0" w:lastRow="0" w:firstColumn="0" w:lastColumn="0" w:oddVBand="0" w:evenVBand="0" w:oddHBand="0" w:evenHBand="0" w:firstRowFirstColumn="0" w:firstRowLastColumn="0" w:lastRowFirstColumn="0" w:lastRowLastColumn="0"/>
              <w:rPr>
                <w:sz w:val="22"/>
              </w:rPr>
            </w:pPr>
          </w:p>
        </w:tc>
      </w:tr>
      <w:tr w:rsidR="005E53E7" w:rsidRPr="00105B90"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Borders>
              <w:top w:val="single" w:sz="4" w:space="0" w:color="4F81BD" w:themeColor="accent1"/>
              <w:bottom w:val="single" w:sz="4" w:space="0" w:color="4F81BD" w:themeColor="accent1"/>
            </w:tcBorders>
          </w:tcPr>
          <w:p w:rsidR="005E53E7" w:rsidRDefault="005E53E7" w:rsidP="00012DE2">
            <w:pPr>
              <w:rPr>
                <w:sz w:val="22"/>
              </w:rPr>
            </w:pPr>
          </w:p>
          <w:p w:rsidR="005E53E7" w:rsidRPr="002370A5" w:rsidRDefault="005E53E7" w:rsidP="00012DE2">
            <w:pPr>
              <w:rPr>
                <w:sz w:val="22"/>
              </w:rPr>
            </w:pPr>
            <w:r>
              <w:rPr>
                <w:sz w:val="22"/>
              </w:rPr>
              <w:t>Standing Committee on Therapeutic Trials (SCOTT)</w:t>
            </w:r>
          </w:p>
        </w:tc>
        <w:tc>
          <w:tcPr>
            <w:tcW w:w="1201" w:type="pct"/>
            <w:tcBorders>
              <w:bottom w:val="single" w:sz="4" w:space="0" w:color="4F81BD" w:themeColor="accent1"/>
            </w:tcBorders>
          </w:tcPr>
          <w:p w:rsidR="005E53E7" w:rsidRDefault="005E53E7"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5E53E7" w:rsidRPr="00321EF1" w:rsidRDefault="005E53E7" w:rsidP="00012DE2">
            <w:pPr>
              <w:cnfStyle w:val="000000100000" w:firstRow="0" w:lastRow="0" w:firstColumn="0" w:lastColumn="0" w:oddVBand="0" w:evenVBand="0" w:oddHBand="1" w:evenHBand="0" w:firstRowFirstColumn="0" w:firstRowLastColumn="0" w:lastRowFirstColumn="0" w:lastRowLastColumn="0"/>
              <w:rPr>
                <w:sz w:val="22"/>
              </w:rPr>
            </w:pPr>
            <w:r>
              <w:rPr>
                <w:sz w:val="22"/>
              </w:rPr>
              <w:t>Established by the HRC.</w:t>
            </w:r>
          </w:p>
        </w:tc>
        <w:tc>
          <w:tcPr>
            <w:tcW w:w="2731" w:type="pct"/>
            <w:tcBorders>
              <w:bottom w:val="single" w:sz="4" w:space="0" w:color="4F81BD" w:themeColor="accent1"/>
            </w:tcBorders>
          </w:tcPr>
          <w:p w:rsidR="005E53E7" w:rsidRDefault="005E53E7"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5E53E7" w:rsidRPr="004A2A19" w:rsidRDefault="005E53E7" w:rsidP="005E53E7">
            <w:pPr>
              <w:pStyle w:val="ListParagraph"/>
              <w:numPr>
                <w:ilvl w:val="0"/>
                <w:numId w:val="36"/>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sidRPr="004A2A19">
              <w:rPr>
                <w:sz w:val="22"/>
              </w:rPr>
              <w:t>Makes recommendations to the Director-General of Health on whether or not clinical trials that involve the use of a new medicine should be approved.</w:t>
            </w:r>
          </w:p>
          <w:p w:rsidR="005E53E7" w:rsidRPr="004A2A19" w:rsidRDefault="005E53E7" w:rsidP="005E53E7">
            <w:pPr>
              <w:pStyle w:val="ListParagraph"/>
              <w:numPr>
                <w:ilvl w:val="0"/>
                <w:numId w:val="36"/>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sidRPr="004A2A19">
              <w:rPr>
                <w:sz w:val="22"/>
              </w:rPr>
              <w:t>Assesses whether or not the proposed clinical trial of a medicine will provide clinically and scientifically useful information, particularly in relation to the safety and efficacy of the agent.</w:t>
            </w:r>
          </w:p>
          <w:p w:rsidR="005E53E7" w:rsidRPr="00321EF1" w:rsidRDefault="005E53E7" w:rsidP="005E53E7">
            <w:pPr>
              <w:pStyle w:val="ListParagraph"/>
              <w:numPr>
                <w:ilvl w:val="0"/>
                <w:numId w:val="36"/>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sz w:val="22"/>
              </w:rPr>
            </w:pPr>
            <w:r w:rsidRPr="004A2A19">
              <w:rPr>
                <w:sz w:val="22"/>
              </w:rPr>
              <w:t xml:space="preserve">Assesses the ability of the </w:t>
            </w:r>
            <w:proofErr w:type="spellStart"/>
            <w:r w:rsidRPr="004A2A19">
              <w:rPr>
                <w:sz w:val="22"/>
              </w:rPr>
              <w:t>trial</w:t>
            </w:r>
            <w:r>
              <w:rPr>
                <w:sz w:val="22"/>
              </w:rPr>
              <w:t>l</w:t>
            </w:r>
            <w:r w:rsidRPr="004A2A19">
              <w:rPr>
                <w:sz w:val="22"/>
              </w:rPr>
              <w:t>ists</w:t>
            </w:r>
            <w:proofErr w:type="spellEnd"/>
            <w:r w:rsidRPr="004A2A19">
              <w:rPr>
                <w:sz w:val="22"/>
              </w:rPr>
              <w:t xml:space="preserve"> to conduct the trial and attempts to improve trial design and the quality of clinical pharmacological research. </w:t>
            </w:r>
          </w:p>
        </w:tc>
      </w:tr>
    </w:tbl>
    <w:p w:rsidR="005E53E7" w:rsidRDefault="005E53E7" w:rsidP="005E53E7">
      <w:pPr>
        <w:rPr>
          <w:b/>
          <w:bCs/>
        </w:rPr>
      </w:pPr>
    </w:p>
    <w:p w:rsidR="00F917BB" w:rsidRDefault="00F917BB">
      <w:pPr>
        <w:sectPr w:rsidR="00F917BB" w:rsidSect="005E53E7">
          <w:pgSz w:w="16838" w:h="11906" w:orient="landscape"/>
          <w:pgMar w:top="1440" w:right="1440" w:bottom="1440" w:left="1440" w:header="708" w:footer="708" w:gutter="0"/>
          <w:cols w:space="708"/>
          <w:titlePg/>
          <w:docGrid w:linePitch="360"/>
        </w:sectPr>
      </w:pPr>
    </w:p>
    <w:p w:rsidR="000F2922" w:rsidRDefault="000F2922" w:rsidP="000F2922">
      <w:pPr>
        <w:pStyle w:val="Heading1"/>
        <w:spacing w:before="0" w:line="240" w:lineRule="auto"/>
      </w:pPr>
      <w:bookmarkStart w:id="28" w:name="_Toc401587742"/>
      <w:r>
        <w:t>Appendix 2</w:t>
      </w:r>
      <w:r w:rsidR="001C52AC">
        <w:t xml:space="preserve">: </w:t>
      </w:r>
      <w:r w:rsidR="00A67A48">
        <w:t>List of Stakeholders</w:t>
      </w:r>
      <w:bookmarkEnd w:id="28"/>
    </w:p>
    <w:p w:rsidR="00A67A48" w:rsidRDefault="00A67A48" w:rsidP="00A67A48">
      <w:pPr>
        <w:pStyle w:val="NEACbullet"/>
        <w:spacing w:after="120"/>
        <w:ind w:left="0" w:firstLine="0"/>
      </w:pPr>
      <w:r>
        <w:t>NEAC met with representatives from the foll</w:t>
      </w:r>
      <w:r w:rsidR="003243AE">
        <w:t>owing organisations and groups:</w:t>
      </w:r>
    </w:p>
    <w:p w:rsidR="004E3292" w:rsidRDefault="004E3292" w:rsidP="00CE08DE">
      <w:pPr>
        <w:pStyle w:val="NEACbullet"/>
        <w:numPr>
          <w:ilvl w:val="0"/>
          <w:numId w:val="2"/>
        </w:numPr>
        <w:spacing w:before="0"/>
      </w:pPr>
      <w:r>
        <w:t xml:space="preserve">Research Office, </w:t>
      </w:r>
      <w:proofErr w:type="spellStart"/>
      <w:r>
        <w:t>Waitemata</w:t>
      </w:r>
      <w:proofErr w:type="spellEnd"/>
      <w:r>
        <w:t xml:space="preserve"> DHB</w:t>
      </w:r>
    </w:p>
    <w:p w:rsidR="004E3292" w:rsidRDefault="004E3292" w:rsidP="00CE08DE">
      <w:pPr>
        <w:pStyle w:val="NEACbullet"/>
        <w:numPr>
          <w:ilvl w:val="0"/>
          <w:numId w:val="2"/>
        </w:numPr>
        <w:spacing w:before="0"/>
      </w:pPr>
      <w:r>
        <w:t xml:space="preserve">Research Office, Counties </w:t>
      </w:r>
      <w:proofErr w:type="spellStart"/>
      <w:r>
        <w:t>Manukau</w:t>
      </w:r>
      <w:proofErr w:type="spellEnd"/>
      <w:r>
        <w:t xml:space="preserve"> DHB</w:t>
      </w:r>
    </w:p>
    <w:p w:rsidR="00A67A48" w:rsidRDefault="00A67A48" w:rsidP="00CE08DE">
      <w:pPr>
        <w:pStyle w:val="NEACbullet"/>
        <w:numPr>
          <w:ilvl w:val="0"/>
          <w:numId w:val="2"/>
        </w:numPr>
        <w:spacing w:before="0"/>
      </w:pPr>
      <w:r>
        <w:t xml:space="preserve">Health Research South </w:t>
      </w:r>
    </w:p>
    <w:p w:rsidR="00A67A48" w:rsidRPr="00EA2DCE" w:rsidRDefault="00A67A48" w:rsidP="00CE08DE">
      <w:pPr>
        <w:pStyle w:val="NEACbullet"/>
        <w:numPr>
          <w:ilvl w:val="0"/>
          <w:numId w:val="2"/>
        </w:numPr>
        <w:spacing w:before="0"/>
      </w:pPr>
      <w:r w:rsidRPr="00EA2DCE">
        <w:t xml:space="preserve">New Zealand Association of Clinical Research </w:t>
      </w:r>
    </w:p>
    <w:p w:rsidR="00A67A48" w:rsidRDefault="00A67A48" w:rsidP="00CE08DE">
      <w:pPr>
        <w:pStyle w:val="NEACbullet"/>
        <w:numPr>
          <w:ilvl w:val="0"/>
          <w:numId w:val="2"/>
        </w:numPr>
        <w:spacing w:before="0"/>
      </w:pPr>
      <w:r>
        <w:t>Health and Disability Ethics Committee chairs</w:t>
      </w:r>
    </w:p>
    <w:p w:rsidR="00A67A48" w:rsidRDefault="00A67A48" w:rsidP="00CE08DE">
      <w:pPr>
        <w:pStyle w:val="NEACbullet"/>
        <w:numPr>
          <w:ilvl w:val="0"/>
          <w:numId w:val="2"/>
        </w:numPr>
        <w:spacing w:before="0"/>
      </w:pPr>
      <w:r>
        <w:t>Health Research Council Ethics Committee</w:t>
      </w:r>
    </w:p>
    <w:p w:rsidR="00A67A48" w:rsidRDefault="00A67A48" w:rsidP="00CE08DE">
      <w:pPr>
        <w:pStyle w:val="NEACbullet"/>
        <w:numPr>
          <w:ilvl w:val="0"/>
          <w:numId w:val="2"/>
        </w:numPr>
        <w:spacing w:before="0"/>
      </w:pPr>
      <w:r>
        <w:t>A</w:t>
      </w:r>
      <w:r w:rsidR="006965F5">
        <w:t>uckland University of Technology</w:t>
      </w:r>
      <w:r>
        <w:t xml:space="preserve"> Ethics Committee</w:t>
      </w:r>
    </w:p>
    <w:p w:rsidR="00A67A48" w:rsidRDefault="00A67A48" w:rsidP="00CE08DE">
      <w:pPr>
        <w:pStyle w:val="NEACbullet"/>
        <w:numPr>
          <w:ilvl w:val="0"/>
          <w:numId w:val="2"/>
        </w:numPr>
        <w:spacing w:before="0"/>
      </w:pPr>
      <w:proofErr w:type="spellStart"/>
      <w:r>
        <w:t>Otago</w:t>
      </w:r>
      <w:proofErr w:type="spellEnd"/>
      <w:r>
        <w:t xml:space="preserve"> University Ethics Committee</w:t>
      </w:r>
    </w:p>
    <w:p w:rsidR="00A67A48" w:rsidRDefault="00A67A48" w:rsidP="00CE08DE">
      <w:pPr>
        <w:pStyle w:val="NEACbullet"/>
        <w:numPr>
          <w:ilvl w:val="0"/>
          <w:numId w:val="2"/>
        </w:numPr>
        <w:spacing w:before="0"/>
      </w:pPr>
      <w:proofErr w:type="spellStart"/>
      <w:r>
        <w:t>Unitec</w:t>
      </w:r>
      <w:proofErr w:type="spellEnd"/>
      <w:r>
        <w:t xml:space="preserve"> Ethics Committee</w:t>
      </w:r>
    </w:p>
    <w:p w:rsidR="00A67A48" w:rsidRDefault="00A67A48" w:rsidP="00CE08DE">
      <w:pPr>
        <w:pStyle w:val="NEACbullet"/>
        <w:numPr>
          <w:ilvl w:val="0"/>
          <w:numId w:val="2"/>
        </w:numPr>
        <w:spacing w:before="0"/>
      </w:pPr>
      <w:r>
        <w:t>New Zealand Ethics Committee</w:t>
      </w:r>
    </w:p>
    <w:p w:rsidR="00A67A48" w:rsidRDefault="00A67A48" w:rsidP="00CE08DE">
      <w:pPr>
        <w:pStyle w:val="NEACbullet"/>
        <w:numPr>
          <w:ilvl w:val="0"/>
          <w:numId w:val="2"/>
        </w:numPr>
        <w:spacing w:before="0"/>
      </w:pPr>
      <w:r>
        <w:t xml:space="preserve">St Johns </w:t>
      </w:r>
    </w:p>
    <w:p w:rsidR="00A67A48" w:rsidRDefault="00A67A48" w:rsidP="00CE08DE">
      <w:pPr>
        <w:pStyle w:val="NEACbullet"/>
        <w:numPr>
          <w:ilvl w:val="0"/>
          <w:numId w:val="2"/>
        </w:numPr>
        <w:spacing w:before="0"/>
      </w:pPr>
      <w:r>
        <w:t>Families Commission</w:t>
      </w:r>
    </w:p>
    <w:p w:rsidR="00A67A48" w:rsidRDefault="00A67A48" w:rsidP="00CE08DE">
      <w:pPr>
        <w:pStyle w:val="NEACbullet"/>
        <w:numPr>
          <w:ilvl w:val="0"/>
          <w:numId w:val="2"/>
        </w:numPr>
        <w:spacing w:before="0"/>
      </w:pPr>
      <w:r>
        <w:t>Council of Medical Colleges</w:t>
      </w:r>
    </w:p>
    <w:p w:rsidR="00A67A48" w:rsidRDefault="00A67A48" w:rsidP="00CE08DE">
      <w:pPr>
        <w:pStyle w:val="NEACbullet"/>
        <w:numPr>
          <w:ilvl w:val="0"/>
          <w:numId w:val="2"/>
        </w:numPr>
        <w:spacing w:before="0"/>
      </w:pPr>
      <w:r>
        <w:t>DHB Clinical Ethics Advisory Groups</w:t>
      </w:r>
    </w:p>
    <w:p w:rsidR="00A67A48" w:rsidRDefault="00A67A48" w:rsidP="00CE08DE">
      <w:pPr>
        <w:pStyle w:val="NEACbullet"/>
        <w:numPr>
          <w:ilvl w:val="0"/>
          <w:numId w:val="2"/>
        </w:numPr>
        <w:spacing w:before="0"/>
      </w:pPr>
      <w:r>
        <w:t>Health Innovation Hub</w:t>
      </w:r>
    </w:p>
    <w:p w:rsidR="00A67A48" w:rsidRDefault="00A67A48" w:rsidP="00CE08DE">
      <w:pPr>
        <w:pStyle w:val="NEACbullet"/>
        <w:numPr>
          <w:ilvl w:val="0"/>
          <w:numId w:val="2"/>
        </w:numPr>
        <w:spacing w:before="0"/>
      </w:pPr>
      <w:r>
        <w:t>Ministry of Health</w:t>
      </w:r>
    </w:p>
    <w:p w:rsidR="00A67A48" w:rsidRDefault="00A67A48">
      <w:r>
        <w:br w:type="page"/>
      </w:r>
    </w:p>
    <w:p w:rsidR="0044268E" w:rsidRDefault="0044268E" w:rsidP="0044268E">
      <w:pPr>
        <w:pStyle w:val="Heading1"/>
        <w:spacing w:before="0" w:line="240" w:lineRule="auto"/>
        <w:sectPr w:rsidR="0044268E" w:rsidSect="00F917BB">
          <w:pgSz w:w="11906" w:h="16838"/>
          <w:pgMar w:top="1440" w:right="1440" w:bottom="1440" w:left="1440" w:header="708" w:footer="708" w:gutter="0"/>
          <w:cols w:space="708"/>
          <w:titlePg/>
          <w:docGrid w:linePitch="360"/>
        </w:sectPr>
      </w:pPr>
    </w:p>
    <w:p w:rsidR="0044268E" w:rsidRDefault="00723D56" w:rsidP="0044268E">
      <w:pPr>
        <w:pStyle w:val="Heading1"/>
        <w:spacing w:before="0" w:line="240" w:lineRule="auto"/>
      </w:pPr>
      <w:bookmarkStart w:id="29" w:name="_Toc401587743"/>
      <w:r>
        <w:t xml:space="preserve">Appendix 3:  Guidelines and </w:t>
      </w:r>
      <w:r w:rsidR="0044268E">
        <w:t>legislation</w:t>
      </w:r>
      <w:bookmarkEnd w:id="29"/>
      <w:r w:rsidR="0044268E">
        <w:t xml:space="preserve"> </w:t>
      </w:r>
    </w:p>
    <w:p w:rsidR="0044268E" w:rsidRDefault="0044268E" w:rsidP="0044268E">
      <w:pPr>
        <w:spacing w:after="0" w:line="240" w:lineRule="auto"/>
      </w:pPr>
    </w:p>
    <w:p w:rsidR="0044268E" w:rsidRDefault="0044268E" w:rsidP="0044268E">
      <w:pPr>
        <w:spacing w:after="0" w:line="240" w:lineRule="auto"/>
      </w:pPr>
      <w:r>
        <w:t xml:space="preserve">This appendix provides a brief description of ethical guidelines, international statements, legislation and codes that researchers need to be aware of when undertaking health and disability research.  </w:t>
      </w:r>
    </w:p>
    <w:p w:rsidR="0044268E" w:rsidRDefault="0044268E" w:rsidP="0044268E">
      <w:pPr>
        <w:spacing w:after="0" w:line="240" w:lineRule="auto"/>
      </w:pPr>
    </w:p>
    <w:tbl>
      <w:tblPr>
        <w:tblStyle w:val="MediumShading1-Accent1"/>
        <w:tblW w:w="5000" w:type="pct"/>
        <w:tblLook w:val="04A0" w:firstRow="1" w:lastRow="0" w:firstColumn="1" w:lastColumn="0" w:noHBand="0" w:noVBand="1"/>
      </w:tblPr>
      <w:tblGrid>
        <w:gridCol w:w="3447"/>
        <w:gridCol w:w="3121"/>
        <w:gridCol w:w="7606"/>
      </w:tblGrid>
      <w:tr w:rsidR="0044268E" w:rsidRPr="00695F5B" w:rsidTr="00012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44268E" w:rsidRPr="00695F5B" w:rsidRDefault="00723D56" w:rsidP="00012DE2">
            <w:pPr>
              <w:spacing w:before="120" w:after="120"/>
              <w:rPr>
                <w:sz w:val="22"/>
              </w:rPr>
            </w:pPr>
            <w:r>
              <w:rPr>
                <w:sz w:val="22"/>
              </w:rPr>
              <w:t>New Zealand ethical g</w:t>
            </w:r>
            <w:r w:rsidR="0044268E" w:rsidRPr="00695F5B">
              <w:rPr>
                <w:sz w:val="22"/>
              </w:rPr>
              <w:t xml:space="preserve">uidelines </w:t>
            </w:r>
          </w:p>
        </w:tc>
      </w:tr>
      <w:tr w:rsidR="0044268E" w:rsidRPr="00695F5B"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44268E" w:rsidRPr="00695F5B" w:rsidRDefault="0044268E" w:rsidP="00012DE2">
            <w:pPr>
              <w:rPr>
                <w:sz w:val="22"/>
              </w:rPr>
            </w:pPr>
          </w:p>
          <w:p w:rsidR="0044268E" w:rsidRPr="00695F5B" w:rsidRDefault="0044268E" w:rsidP="00012DE2">
            <w:pPr>
              <w:rPr>
                <w:sz w:val="22"/>
              </w:rPr>
            </w:pPr>
            <w:r>
              <w:rPr>
                <w:sz w:val="22"/>
              </w:rPr>
              <w:t>Ethical Guidelines for Observational S</w:t>
            </w:r>
            <w:r w:rsidRPr="00695F5B">
              <w:rPr>
                <w:sz w:val="22"/>
              </w:rPr>
              <w:t>tudies (2012)</w:t>
            </w:r>
          </w:p>
          <w:p w:rsidR="0044268E" w:rsidRPr="00695F5B" w:rsidRDefault="0044268E" w:rsidP="00012DE2">
            <w:pPr>
              <w:rPr>
                <w:sz w:val="22"/>
              </w:rPr>
            </w:pPr>
          </w:p>
          <w:p w:rsidR="0044268E" w:rsidRPr="00695F5B" w:rsidRDefault="0044268E" w:rsidP="00012DE2">
            <w:pPr>
              <w:rPr>
                <w:sz w:val="22"/>
              </w:rPr>
            </w:pPr>
            <w:r>
              <w:rPr>
                <w:sz w:val="22"/>
              </w:rPr>
              <w:t>Ethical Guidelines for Intervention S</w:t>
            </w:r>
            <w:r w:rsidRPr="00695F5B">
              <w:rPr>
                <w:sz w:val="22"/>
              </w:rPr>
              <w:t xml:space="preserve">tudies (2012) </w:t>
            </w:r>
          </w:p>
          <w:p w:rsidR="0044268E" w:rsidRPr="00695F5B" w:rsidRDefault="0044268E" w:rsidP="00012DE2">
            <w:pPr>
              <w:rPr>
                <w:sz w:val="22"/>
              </w:rPr>
            </w:pPr>
          </w:p>
        </w:tc>
        <w:tc>
          <w:tcPr>
            <w:tcW w:w="1101" w:type="pct"/>
          </w:tcPr>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695F5B">
              <w:rPr>
                <w:sz w:val="22"/>
              </w:rPr>
              <w:t xml:space="preserve">National Ethics Advisory </w:t>
            </w:r>
            <w:r>
              <w:rPr>
                <w:sz w:val="22"/>
              </w:rPr>
              <w:t>Committee</w:t>
            </w:r>
            <w:r w:rsidRPr="00695F5B">
              <w:rPr>
                <w:sz w:val="22"/>
              </w:rPr>
              <w:t xml:space="preserve"> </w:t>
            </w:r>
          </w:p>
        </w:tc>
        <w:tc>
          <w:tcPr>
            <w:tcW w:w="2683" w:type="pct"/>
          </w:tcPr>
          <w:p w:rsidR="0044268E"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F5742B"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F5742B">
              <w:rPr>
                <w:sz w:val="22"/>
              </w:rPr>
              <w:t xml:space="preserve">These guidelines set out the ethical standards that all researchers must meet when undertaking health and disability research. These guidelines are also of use to ethics committees, research sponsors and for training and educating researchers. </w:t>
            </w:r>
          </w:p>
        </w:tc>
      </w:tr>
      <w:tr w:rsidR="00A75963" w:rsidRPr="00695F5B" w:rsidTr="00012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A75963" w:rsidRDefault="00A75963" w:rsidP="00012DE2">
            <w:pPr>
              <w:rPr>
                <w:sz w:val="22"/>
              </w:rPr>
            </w:pPr>
          </w:p>
          <w:p w:rsidR="00A75963" w:rsidRDefault="00A75963" w:rsidP="00012DE2">
            <w:pPr>
              <w:rPr>
                <w:sz w:val="22"/>
              </w:rPr>
            </w:pPr>
            <w:r>
              <w:rPr>
                <w:sz w:val="22"/>
              </w:rPr>
              <w:t>Goals, Objectives, and Desired Outcomes for Ethical Review System (GODO) (20</w:t>
            </w:r>
            <w:r w:rsidR="000814A8">
              <w:rPr>
                <w:sz w:val="22"/>
              </w:rPr>
              <w:t>10</w:t>
            </w:r>
            <w:r>
              <w:rPr>
                <w:sz w:val="22"/>
              </w:rPr>
              <w:t>)</w:t>
            </w:r>
          </w:p>
          <w:p w:rsidR="00A75963" w:rsidRPr="00695F5B" w:rsidRDefault="00A75963" w:rsidP="00012DE2">
            <w:pPr>
              <w:rPr>
                <w:sz w:val="22"/>
              </w:rPr>
            </w:pPr>
          </w:p>
        </w:tc>
        <w:tc>
          <w:tcPr>
            <w:tcW w:w="1101" w:type="pct"/>
          </w:tcPr>
          <w:p w:rsidR="00A75963" w:rsidRDefault="00A75963" w:rsidP="00012DE2">
            <w:pPr>
              <w:cnfStyle w:val="000000010000" w:firstRow="0" w:lastRow="0" w:firstColumn="0" w:lastColumn="0" w:oddVBand="0" w:evenVBand="0" w:oddHBand="0" w:evenHBand="1" w:firstRowFirstColumn="0" w:firstRowLastColumn="0" w:lastRowFirstColumn="0" w:lastRowLastColumn="0"/>
              <w:rPr>
                <w:sz w:val="22"/>
              </w:rPr>
            </w:pPr>
          </w:p>
          <w:p w:rsidR="00A75963" w:rsidRPr="00695F5B" w:rsidRDefault="00A75963" w:rsidP="00012DE2">
            <w:pPr>
              <w:cnfStyle w:val="000000010000" w:firstRow="0" w:lastRow="0" w:firstColumn="0" w:lastColumn="0" w:oddVBand="0" w:evenVBand="0" w:oddHBand="0" w:evenHBand="1" w:firstRowFirstColumn="0" w:firstRowLastColumn="0" w:lastRowFirstColumn="0" w:lastRowLastColumn="0"/>
              <w:rPr>
                <w:sz w:val="22"/>
              </w:rPr>
            </w:pPr>
            <w:r w:rsidRPr="00695F5B">
              <w:rPr>
                <w:sz w:val="22"/>
              </w:rPr>
              <w:t xml:space="preserve">National Ethics Advisory </w:t>
            </w:r>
            <w:r>
              <w:rPr>
                <w:sz w:val="22"/>
              </w:rPr>
              <w:t>Committee</w:t>
            </w:r>
          </w:p>
        </w:tc>
        <w:tc>
          <w:tcPr>
            <w:tcW w:w="2683" w:type="pct"/>
          </w:tcPr>
          <w:p w:rsidR="00A75963" w:rsidRDefault="00A75963"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A75963" w:rsidRPr="0037513D" w:rsidRDefault="00A75963" w:rsidP="0037513D">
            <w:pPr>
              <w:cnfStyle w:val="000000010000" w:firstRow="0" w:lastRow="0" w:firstColumn="0" w:lastColumn="0" w:oddVBand="0" w:evenVBand="0" w:oddHBand="0" w:evenHBand="1" w:firstRowFirstColumn="0" w:firstRowLastColumn="0" w:lastRowFirstColumn="0" w:lastRowLastColumn="0"/>
              <w:rPr>
                <w:sz w:val="22"/>
              </w:rPr>
            </w:pPr>
            <w:r w:rsidRPr="0037513D">
              <w:rPr>
                <w:sz w:val="22"/>
              </w:rPr>
              <w:t>GODO states established goals, objectives and desired outcomes that are to be applied to the ethical review system</w:t>
            </w:r>
            <w:r>
              <w:rPr>
                <w:sz w:val="22"/>
              </w:rPr>
              <w:t>.</w:t>
            </w:r>
            <w:r w:rsidRPr="0037513D">
              <w:rPr>
                <w:sz w:val="22"/>
              </w:rPr>
              <w:t xml:space="preserve">  </w:t>
            </w:r>
          </w:p>
        </w:tc>
      </w:tr>
      <w:tr w:rsidR="0044268E" w:rsidRPr="00695F5B"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44268E" w:rsidRPr="00695F5B" w:rsidRDefault="0044268E" w:rsidP="00012DE2">
            <w:pPr>
              <w:rPr>
                <w:sz w:val="22"/>
              </w:rPr>
            </w:pPr>
          </w:p>
          <w:p w:rsidR="0044268E" w:rsidRPr="00695F5B" w:rsidRDefault="0044268E" w:rsidP="00012DE2">
            <w:pPr>
              <w:rPr>
                <w:sz w:val="22"/>
              </w:rPr>
            </w:pPr>
            <w:r w:rsidRPr="00695F5B">
              <w:rPr>
                <w:sz w:val="22"/>
              </w:rPr>
              <w:t>Guidelines for Using Cells from Established Human Embryonic Stem Cell Lines for Research</w:t>
            </w:r>
            <w:r>
              <w:rPr>
                <w:sz w:val="22"/>
              </w:rPr>
              <w:t xml:space="preserve"> (2006)</w:t>
            </w:r>
          </w:p>
          <w:p w:rsidR="0044268E" w:rsidRPr="00695F5B" w:rsidRDefault="0044268E" w:rsidP="00012DE2">
            <w:pPr>
              <w:rPr>
                <w:sz w:val="22"/>
              </w:rPr>
            </w:pPr>
          </w:p>
        </w:tc>
        <w:tc>
          <w:tcPr>
            <w:tcW w:w="1101" w:type="pct"/>
          </w:tcPr>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695F5B">
              <w:rPr>
                <w:sz w:val="22"/>
              </w:rPr>
              <w:t>Ministry of Health</w:t>
            </w:r>
          </w:p>
        </w:tc>
        <w:tc>
          <w:tcPr>
            <w:tcW w:w="2683" w:type="pct"/>
          </w:tcPr>
          <w:p w:rsidR="0044268E" w:rsidRPr="00695F5B"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F5742B" w:rsidRDefault="0044268E" w:rsidP="006965F5">
            <w:pPr>
              <w:cnfStyle w:val="000000100000" w:firstRow="0" w:lastRow="0" w:firstColumn="0" w:lastColumn="0" w:oddVBand="0" w:evenVBand="0" w:oddHBand="1" w:evenHBand="0" w:firstRowFirstColumn="0" w:firstRowLastColumn="0" w:lastRowFirstColumn="0" w:lastRowLastColumn="0"/>
              <w:rPr>
                <w:sz w:val="22"/>
              </w:rPr>
            </w:pPr>
            <w:r w:rsidRPr="00F5742B">
              <w:rPr>
                <w:sz w:val="22"/>
              </w:rPr>
              <w:t xml:space="preserve">These guidelines outline requirements for New Zealand researchers using cells from established human embryonic stem cell lines in research, including mandatory ethical review of research applications. </w:t>
            </w:r>
          </w:p>
        </w:tc>
      </w:tr>
      <w:tr w:rsidR="0044268E" w:rsidRPr="00695F5B" w:rsidTr="00012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44268E" w:rsidRDefault="0044268E" w:rsidP="00012DE2">
            <w:pPr>
              <w:rPr>
                <w:sz w:val="22"/>
              </w:rPr>
            </w:pPr>
          </w:p>
          <w:p w:rsidR="0044268E" w:rsidRPr="00695F5B" w:rsidRDefault="0044268E" w:rsidP="00012DE2">
            <w:pPr>
              <w:rPr>
                <w:sz w:val="22"/>
              </w:rPr>
            </w:pPr>
            <w:r w:rsidRPr="00695F5B">
              <w:rPr>
                <w:sz w:val="22"/>
              </w:rPr>
              <w:t xml:space="preserve">Guidelines in the </w:t>
            </w:r>
            <w:r>
              <w:rPr>
                <w:sz w:val="22"/>
              </w:rPr>
              <w:t>Use of Human Tissue for Future Unspecified R</w:t>
            </w:r>
            <w:r w:rsidRPr="00695F5B">
              <w:rPr>
                <w:sz w:val="22"/>
              </w:rPr>
              <w:t xml:space="preserve">esearch </w:t>
            </w:r>
            <w:r>
              <w:rPr>
                <w:sz w:val="22"/>
              </w:rPr>
              <w:t>P</w:t>
            </w:r>
            <w:r w:rsidRPr="00695F5B">
              <w:rPr>
                <w:sz w:val="22"/>
              </w:rPr>
              <w:t>urposes (2007)</w:t>
            </w:r>
          </w:p>
          <w:p w:rsidR="0044268E" w:rsidRPr="00695F5B" w:rsidRDefault="0044268E" w:rsidP="00012DE2">
            <w:pPr>
              <w:rPr>
                <w:sz w:val="22"/>
              </w:rPr>
            </w:pPr>
          </w:p>
        </w:tc>
        <w:tc>
          <w:tcPr>
            <w:tcW w:w="1101"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Pr="00695F5B"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695F5B">
              <w:rPr>
                <w:sz w:val="22"/>
              </w:rPr>
              <w:t>Ministry of Health</w:t>
            </w:r>
          </w:p>
        </w:tc>
        <w:tc>
          <w:tcPr>
            <w:tcW w:w="2683" w:type="pct"/>
          </w:tcPr>
          <w:p w:rsidR="0044268E"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44268E" w:rsidRPr="00F5742B"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F5742B">
              <w:rPr>
                <w:sz w:val="22"/>
              </w:rPr>
              <w:t xml:space="preserve">These guidelines outline the consent and ethical review requirements for New Zealand researchers who wish to use human tissue for future unspecified research.  </w:t>
            </w:r>
          </w:p>
        </w:tc>
      </w:tr>
      <w:tr w:rsidR="0044268E" w:rsidRPr="00695F5B"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44268E" w:rsidRPr="00695F5B" w:rsidRDefault="0044268E" w:rsidP="00012DE2">
            <w:pPr>
              <w:rPr>
                <w:sz w:val="22"/>
              </w:rPr>
            </w:pPr>
          </w:p>
          <w:p w:rsidR="0044268E" w:rsidRPr="00695F5B" w:rsidRDefault="0044268E" w:rsidP="00012DE2">
            <w:pPr>
              <w:rPr>
                <w:sz w:val="22"/>
              </w:rPr>
            </w:pPr>
            <w:r>
              <w:rPr>
                <w:sz w:val="22"/>
              </w:rPr>
              <w:t>Guidelines for R</w:t>
            </w:r>
            <w:r w:rsidRPr="00695F5B">
              <w:rPr>
                <w:sz w:val="22"/>
              </w:rPr>
              <w:t>esearchers on Health Research involving M</w:t>
            </w:r>
            <w:r w:rsidRPr="00695F5B">
              <w:rPr>
                <w:rFonts w:cs="Arial"/>
                <w:sz w:val="22"/>
              </w:rPr>
              <w:t>ā</w:t>
            </w:r>
            <w:r w:rsidRPr="00695F5B">
              <w:rPr>
                <w:sz w:val="22"/>
              </w:rPr>
              <w:t>ori</w:t>
            </w:r>
            <w:r>
              <w:rPr>
                <w:sz w:val="22"/>
              </w:rPr>
              <w:t xml:space="preserve"> (2010) </w:t>
            </w:r>
          </w:p>
          <w:p w:rsidR="0044268E" w:rsidRPr="00695F5B" w:rsidRDefault="0044268E" w:rsidP="00012DE2">
            <w:pPr>
              <w:rPr>
                <w:sz w:val="22"/>
              </w:rPr>
            </w:pPr>
          </w:p>
        </w:tc>
        <w:tc>
          <w:tcPr>
            <w:tcW w:w="1101" w:type="pct"/>
          </w:tcPr>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695F5B">
              <w:rPr>
                <w:sz w:val="22"/>
              </w:rPr>
              <w:t xml:space="preserve">Health Research Council </w:t>
            </w:r>
          </w:p>
        </w:tc>
        <w:tc>
          <w:tcPr>
            <w:tcW w:w="2683" w:type="pct"/>
          </w:tcPr>
          <w:p w:rsidR="0044268E" w:rsidRPr="001215F8"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1215F8" w:rsidRDefault="0044268E" w:rsidP="00012DE2">
            <w:pPr>
              <w:cnfStyle w:val="000000100000" w:firstRow="0" w:lastRow="0" w:firstColumn="0" w:lastColumn="0" w:oddVBand="0" w:evenVBand="0" w:oddHBand="1" w:evenHBand="0" w:firstRowFirstColumn="0" w:firstRowLastColumn="0" w:lastRowFirstColumn="0" w:lastRowLastColumn="0"/>
              <w:rPr>
                <w:sz w:val="22"/>
              </w:rPr>
            </w:pPr>
            <w:r>
              <w:rPr>
                <w:sz w:val="22"/>
              </w:rPr>
              <w:t>These g</w:t>
            </w:r>
            <w:r w:rsidRPr="001215F8">
              <w:rPr>
                <w:sz w:val="22"/>
              </w:rPr>
              <w:t xml:space="preserve">uidelines assist researchers undertaking biomedical, public health or clinical research involving Māori participants or research on issues relevant to Māori health. </w:t>
            </w:r>
            <w:r>
              <w:rPr>
                <w:sz w:val="22"/>
              </w:rPr>
              <w:t>In particular</w:t>
            </w:r>
            <w:r w:rsidR="006965F5">
              <w:rPr>
                <w:sz w:val="22"/>
              </w:rPr>
              <w:t>,</w:t>
            </w:r>
            <w:r>
              <w:rPr>
                <w:sz w:val="22"/>
              </w:rPr>
              <w:t xml:space="preserve"> these g</w:t>
            </w:r>
            <w:r w:rsidRPr="001215F8">
              <w:rPr>
                <w:sz w:val="22"/>
              </w:rPr>
              <w:t xml:space="preserve">uidelines inform researchers about consultation and the processes involved in initiating consultation with Māori. </w:t>
            </w: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1215F8" w:rsidRDefault="0044268E" w:rsidP="00012DE2">
            <w:pPr>
              <w:cnfStyle w:val="000000100000" w:firstRow="0" w:lastRow="0" w:firstColumn="0" w:lastColumn="0" w:oddVBand="0" w:evenVBand="0" w:oddHBand="1" w:evenHBand="0" w:firstRowFirstColumn="0" w:firstRowLastColumn="0" w:lastRowFirstColumn="0" w:lastRowLastColumn="0"/>
              <w:rPr>
                <w:sz w:val="22"/>
              </w:rPr>
            </w:pPr>
          </w:p>
        </w:tc>
      </w:tr>
      <w:tr w:rsidR="0044268E" w:rsidRPr="00695F5B" w:rsidTr="00012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44268E" w:rsidRPr="00695F5B" w:rsidRDefault="0044268E" w:rsidP="00012DE2">
            <w:pPr>
              <w:rPr>
                <w:sz w:val="22"/>
              </w:rPr>
            </w:pPr>
          </w:p>
          <w:p w:rsidR="0044268E" w:rsidRPr="00695F5B" w:rsidRDefault="0044268E" w:rsidP="00012DE2">
            <w:pPr>
              <w:rPr>
                <w:sz w:val="22"/>
              </w:rPr>
            </w:pPr>
            <w:proofErr w:type="spellStart"/>
            <w:r>
              <w:rPr>
                <w:sz w:val="22"/>
              </w:rPr>
              <w:t>Te</w:t>
            </w:r>
            <w:proofErr w:type="spellEnd"/>
            <w:r>
              <w:rPr>
                <w:sz w:val="22"/>
              </w:rPr>
              <w:t xml:space="preserve"> </w:t>
            </w:r>
            <w:proofErr w:type="spellStart"/>
            <w:r>
              <w:rPr>
                <w:sz w:val="22"/>
              </w:rPr>
              <w:t>Ara</w:t>
            </w:r>
            <w:proofErr w:type="spellEnd"/>
            <w:r>
              <w:rPr>
                <w:sz w:val="22"/>
              </w:rPr>
              <w:t xml:space="preserve"> </w:t>
            </w:r>
            <w:proofErr w:type="spellStart"/>
            <w:r>
              <w:rPr>
                <w:sz w:val="22"/>
              </w:rPr>
              <w:t>Tika</w:t>
            </w:r>
            <w:proofErr w:type="spellEnd"/>
            <w:r>
              <w:rPr>
                <w:sz w:val="22"/>
              </w:rPr>
              <w:t xml:space="preserve"> G</w:t>
            </w:r>
            <w:r w:rsidRPr="00695F5B">
              <w:rPr>
                <w:sz w:val="22"/>
              </w:rPr>
              <w:t>uidelines for M</w:t>
            </w:r>
            <w:r w:rsidRPr="00695F5B">
              <w:rPr>
                <w:rFonts w:cs="Arial"/>
                <w:sz w:val="22"/>
              </w:rPr>
              <w:t>ā</w:t>
            </w:r>
            <w:r>
              <w:rPr>
                <w:sz w:val="22"/>
              </w:rPr>
              <w:t>ori Research E</w:t>
            </w:r>
            <w:r w:rsidRPr="00695F5B">
              <w:rPr>
                <w:sz w:val="22"/>
              </w:rPr>
              <w:t>thics: A framework for researchers and ethics committee members</w:t>
            </w:r>
          </w:p>
          <w:p w:rsidR="0044268E" w:rsidRPr="00695F5B" w:rsidRDefault="0044268E" w:rsidP="00012DE2">
            <w:pPr>
              <w:rPr>
                <w:sz w:val="22"/>
              </w:rPr>
            </w:pPr>
          </w:p>
        </w:tc>
        <w:tc>
          <w:tcPr>
            <w:tcW w:w="1101"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695F5B">
              <w:rPr>
                <w:sz w:val="22"/>
              </w:rPr>
              <w:t xml:space="preserve"> </w:t>
            </w:r>
          </w:p>
          <w:p w:rsidR="0044268E" w:rsidRPr="00695F5B"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695F5B">
              <w:rPr>
                <w:sz w:val="22"/>
              </w:rPr>
              <w:t xml:space="preserve">The </w:t>
            </w:r>
            <w:proofErr w:type="spellStart"/>
            <w:r w:rsidRPr="00695F5B">
              <w:rPr>
                <w:sz w:val="22"/>
              </w:rPr>
              <w:t>P</w:t>
            </w:r>
            <w:r w:rsidRPr="00695F5B">
              <w:rPr>
                <w:rFonts w:cs="Arial"/>
                <w:sz w:val="22"/>
              </w:rPr>
              <w:t>ū</w:t>
            </w:r>
            <w:r w:rsidRPr="00695F5B">
              <w:rPr>
                <w:sz w:val="22"/>
              </w:rPr>
              <w:t>tairoa</w:t>
            </w:r>
            <w:proofErr w:type="spellEnd"/>
            <w:r w:rsidRPr="00695F5B">
              <w:rPr>
                <w:sz w:val="22"/>
              </w:rPr>
              <w:t xml:space="preserve"> Writing Group, Health Research Council </w:t>
            </w:r>
          </w:p>
        </w:tc>
        <w:tc>
          <w:tcPr>
            <w:tcW w:w="2683" w:type="pct"/>
          </w:tcPr>
          <w:p w:rsidR="0044268E"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44268E" w:rsidRPr="001215F8"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1215F8">
              <w:rPr>
                <w:sz w:val="22"/>
              </w:rPr>
              <w:t xml:space="preserve">This document outlines a framework for addressing Māori ethical issues within the context of decision-making by ethics committee members. It draws on a foundation of </w:t>
            </w:r>
            <w:proofErr w:type="spellStart"/>
            <w:r w:rsidRPr="001215F8">
              <w:rPr>
                <w:sz w:val="22"/>
              </w:rPr>
              <w:t>tikanga</w:t>
            </w:r>
            <w:proofErr w:type="spellEnd"/>
            <w:r w:rsidRPr="001215F8">
              <w:rPr>
                <w:sz w:val="22"/>
              </w:rPr>
              <w:t xml:space="preserve"> Māori (Māori protocols and practices) and will be useful for researchers, ethics committee members and those who engage in consultation or advice about Māori ethical issues from a local, regional, national, and/or international perspective.</w:t>
            </w:r>
          </w:p>
          <w:p w:rsidR="0044268E" w:rsidRPr="00695F5B"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tc>
      </w:tr>
      <w:tr w:rsidR="0044268E" w:rsidRPr="00695F5B"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44268E" w:rsidRDefault="0044268E" w:rsidP="00012DE2">
            <w:pPr>
              <w:rPr>
                <w:sz w:val="22"/>
              </w:rPr>
            </w:pPr>
          </w:p>
          <w:p w:rsidR="0044268E" w:rsidRDefault="0044268E" w:rsidP="00012DE2">
            <w:pPr>
              <w:rPr>
                <w:sz w:val="22"/>
              </w:rPr>
            </w:pPr>
            <w:r>
              <w:rPr>
                <w:sz w:val="22"/>
              </w:rPr>
              <w:t xml:space="preserve">Pacific Health Research Guidelines (2014) </w:t>
            </w:r>
          </w:p>
          <w:p w:rsidR="0044268E" w:rsidRDefault="0044268E" w:rsidP="00012DE2">
            <w:pPr>
              <w:rPr>
                <w:sz w:val="22"/>
              </w:rPr>
            </w:pPr>
          </w:p>
          <w:p w:rsidR="0044268E" w:rsidRDefault="0044268E" w:rsidP="00012DE2">
            <w:pPr>
              <w:rPr>
                <w:sz w:val="22"/>
              </w:rPr>
            </w:pPr>
          </w:p>
          <w:p w:rsidR="0044268E" w:rsidRPr="00695F5B" w:rsidRDefault="0044268E" w:rsidP="00012DE2">
            <w:pPr>
              <w:rPr>
                <w:sz w:val="22"/>
              </w:rPr>
            </w:pPr>
          </w:p>
        </w:tc>
        <w:tc>
          <w:tcPr>
            <w:tcW w:w="1101" w:type="pct"/>
          </w:tcPr>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695F5B">
              <w:rPr>
                <w:sz w:val="22"/>
              </w:rPr>
              <w:t xml:space="preserve">Pacific Health Research Committee, Health Research Council </w:t>
            </w:r>
          </w:p>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tc>
        <w:tc>
          <w:tcPr>
            <w:tcW w:w="2683" w:type="pct"/>
          </w:tcPr>
          <w:p w:rsidR="0044268E"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pPr>
          </w:p>
          <w:p w:rsidR="0044268E" w:rsidRPr="000573E5"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0573E5">
              <w:rPr>
                <w:sz w:val="22"/>
              </w:rPr>
              <w:t xml:space="preserve">These guidelines build on the principles outlined in the HRC's </w:t>
            </w:r>
            <w:r w:rsidRPr="000573E5">
              <w:rPr>
                <w:rStyle w:val="Emphasis"/>
                <w:sz w:val="22"/>
              </w:rPr>
              <w:t>Guidelines on Pacific Health Research</w:t>
            </w:r>
            <w:r w:rsidRPr="000573E5">
              <w:rPr>
                <w:sz w:val="22"/>
              </w:rPr>
              <w:t xml:space="preserve"> (2005), and address some of the fundamental issues relating to contemporary Pacific health research in an evolving global environment.</w:t>
            </w:r>
          </w:p>
          <w:p w:rsidR="0044268E" w:rsidRPr="001215F8" w:rsidRDefault="0044268E" w:rsidP="00012DE2">
            <w:pPr>
              <w:cnfStyle w:val="000000100000" w:firstRow="0" w:lastRow="0" w:firstColumn="0" w:lastColumn="0" w:oddVBand="0" w:evenVBand="0" w:oddHBand="1" w:evenHBand="0" w:firstRowFirstColumn="0" w:firstRowLastColumn="0" w:lastRowFirstColumn="0" w:lastRowLastColumn="0"/>
              <w:rPr>
                <w:sz w:val="22"/>
              </w:rPr>
            </w:pPr>
          </w:p>
        </w:tc>
      </w:tr>
      <w:tr w:rsidR="0044268E" w:rsidRPr="00695F5B" w:rsidTr="00012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6" w:type="pct"/>
          </w:tcPr>
          <w:p w:rsidR="0044268E" w:rsidRDefault="0044268E" w:rsidP="00012DE2">
            <w:pPr>
              <w:autoSpaceDE w:val="0"/>
              <w:autoSpaceDN w:val="0"/>
              <w:adjustRightInd w:val="0"/>
              <w:rPr>
                <w:rFonts w:ascii="ArialMäori,Italic" w:hAnsi="ArialMäori,Italic" w:cs="ArialMäori,Italic"/>
                <w:i/>
                <w:iCs/>
                <w:sz w:val="22"/>
              </w:rPr>
            </w:pPr>
          </w:p>
          <w:p w:rsidR="0044268E" w:rsidRPr="00695F5B" w:rsidRDefault="0044268E" w:rsidP="00012DE2">
            <w:pPr>
              <w:autoSpaceDE w:val="0"/>
              <w:autoSpaceDN w:val="0"/>
              <w:adjustRightInd w:val="0"/>
              <w:rPr>
                <w:rFonts w:ascii="ArialMäori,Italic" w:hAnsi="ArialMäori,Italic" w:cs="ArialMäori,Italic"/>
                <w:iCs/>
                <w:sz w:val="22"/>
              </w:rPr>
            </w:pPr>
            <w:r w:rsidRPr="00695F5B">
              <w:rPr>
                <w:rFonts w:ascii="ArialMäori,Italic" w:hAnsi="ArialMäori,Italic" w:cs="ArialMäori,Italic"/>
                <w:iCs/>
                <w:sz w:val="22"/>
              </w:rPr>
              <w:t>Researched Medicines Industry Guidelines</w:t>
            </w:r>
          </w:p>
          <w:p w:rsidR="0044268E" w:rsidRPr="000573E5" w:rsidRDefault="0044268E" w:rsidP="00012DE2">
            <w:pPr>
              <w:autoSpaceDE w:val="0"/>
              <w:autoSpaceDN w:val="0"/>
              <w:adjustRightInd w:val="0"/>
              <w:rPr>
                <w:rFonts w:ascii="ArialMäori,Italic" w:hAnsi="ArialMäori,Italic" w:cs="ArialMäori,Italic"/>
                <w:iCs/>
                <w:sz w:val="22"/>
              </w:rPr>
            </w:pPr>
            <w:r w:rsidRPr="00695F5B">
              <w:rPr>
                <w:rFonts w:ascii="ArialMäori,Italic" w:hAnsi="ArialMäori,Italic" w:cs="ArialMäori,Italic"/>
                <w:iCs/>
                <w:sz w:val="22"/>
              </w:rPr>
              <w:t>on Clinical Trials Compensation for Injury Resulting From Participation in an</w:t>
            </w:r>
            <w:r>
              <w:rPr>
                <w:rFonts w:ascii="ArialMäori,Italic" w:hAnsi="ArialMäori,Italic" w:cs="ArialMäori,Italic"/>
                <w:iCs/>
                <w:sz w:val="22"/>
              </w:rPr>
              <w:t xml:space="preserve"> </w:t>
            </w:r>
            <w:r w:rsidRPr="00695F5B">
              <w:rPr>
                <w:rFonts w:ascii="ArialMäori,Italic" w:hAnsi="ArialMäori,Italic" w:cs="ArialMäori,Italic"/>
                <w:iCs/>
                <w:sz w:val="22"/>
              </w:rPr>
              <w:t>Industry-Sponsored Clinical Trial</w:t>
            </w:r>
            <w:r w:rsidRPr="00695F5B">
              <w:rPr>
                <w:rFonts w:ascii="ArialMäori,Italic" w:hAnsi="ArialMäori,Italic" w:cs="ArialMäori,Italic"/>
                <w:i/>
                <w:iCs/>
                <w:sz w:val="22"/>
              </w:rPr>
              <w:t xml:space="preserve"> </w:t>
            </w:r>
            <w:r w:rsidRPr="00695F5B">
              <w:rPr>
                <w:rFonts w:ascii="ArialMäori" w:hAnsi="ArialMäori" w:cs="ArialMäori"/>
                <w:sz w:val="22"/>
              </w:rPr>
              <w:t>(2008</w:t>
            </w:r>
            <w:r>
              <w:rPr>
                <w:rFonts w:ascii="ArialMäori" w:hAnsi="ArialMäori" w:cs="ArialMäori"/>
                <w:sz w:val="22"/>
              </w:rPr>
              <w:t>)</w:t>
            </w:r>
          </w:p>
          <w:p w:rsidR="0044268E" w:rsidRPr="00695F5B" w:rsidRDefault="0044268E" w:rsidP="00012DE2">
            <w:pPr>
              <w:rPr>
                <w:sz w:val="22"/>
              </w:rPr>
            </w:pPr>
          </w:p>
        </w:tc>
        <w:tc>
          <w:tcPr>
            <w:tcW w:w="1101"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rFonts w:ascii="BookAntiqua" w:hAnsi="BookAntiqua" w:cs="BookAntiqua"/>
                <w:szCs w:val="24"/>
              </w:rPr>
            </w:pPr>
          </w:p>
          <w:p w:rsidR="0044268E" w:rsidRPr="000573E5" w:rsidRDefault="0044268E" w:rsidP="00012DE2">
            <w:pPr>
              <w:cnfStyle w:val="000000010000" w:firstRow="0" w:lastRow="0" w:firstColumn="0" w:lastColumn="0" w:oddVBand="0" w:evenVBand="0" w:oddHBand="0" w:evenHBand="1" w:firstRowFirstColumn="0" w:firstRowLastColumn="0" w:lastRowFirstColumn="0" w:lastRowLastColumn="0"/>
              <w:rPr>
                <w:rFonts w:cs="Arial"/>
                <w:sz w:val="22"/>
              </w:rPr>
            </w:pPr>
            <w:r w:rsidRPr="000573E5">
              <w:rPr>
                <w:rFonts w:cs="Arial"/>
                <w:sz w:val="22"/>
              </w:rPr>
              <w:t xml:space="preserve">Researched Medicines Industry Association of New Zealand Inc. </w:t>
            </w:r>
          </w:p>
        </w:tc>
        <w:tc>
          <w:tcPr>
            <w:tcW w:w="2683" w:type="pct"/>
          </w:tcPr>
          <w:p w:rsidR="0044268E"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44268E" w:rsidRPr="000573E5"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0573E5">
              <w:rPr>
                <w:sz w:val="22"/>
              </w:rPr>
              <w:t xml:space="preserve">These guidelines outline principles for compensation for injury caused by participation in clinical trials. They are aimed at companies sponsoring clinical trials. </w:t>
            </w:r>
          </w:p>
        </w:tc>
      </w:tr>
    </w:tbl>
    <w:p w:rsidR="0044268E" w:rsidRDefault="0044268E" w:rsidP="0044268E"/>
    <w:p w:rsidR="0044268E" w:rsidRDefault="0044268E" w:rsidP="0044268E"/>
    <w:p w:rsidR="0044268E" w:rsidRDefault="0044268E" w:rsidP="0044268E"/>
    <w:p w:rsidR="0044268E" w:rsidRDefault="0044268E" w:rsidP="0044268E"/>
    <w:p w:rsidR="0044268E" w:rsidRDefault="0044268E" w:rsidP="0044268E"/>
    <w:tbl>
      <w:tblPr>
        <w:tblStyle w:val="MediumShading1-Accent1"/>
        <w:tblW w:w="5000" w:type="pct"/>
        <w:tblLook w:val="04A0" w:firstRow="1" w:lastRow="0" w:firstColumn="1" w:lastColumn="0" w:noHBand="0" w:noVBand="1"/>
      </w:tblPr>
      <w:tblGrid>
        <w:gridCol w:w="3027"/>
        <w:gridCol w:w="3405"/>
        <w:gridCol w:w="7742"/>
      </w:tblGrid>
      <w:tr w:rsidR="0044268E" w:rsidRPr="00695F5B" w:rsidTr="00012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44268E" w:rsidRPr="00695F5B" w:rsidRDefault="0044268E" w:rsidP="00012DE2">
            <w:pPr>
              <w:spacing w:before="120" w:after="120"/>
              <w:rPr>
                <w:sz w:val="22"/>
              </w:rPr>
            </w:pPr>
            <w:r w:rsidRPr="00695F5B">
              <w:rPr>
                <w:sz w:val="22"/>
              </w:rPr>
              <w:t xml:space="preserve">International guidelines </w:t>
            </w:r>
          </w:p>
        </w:tc>
      </w:tr>
      <w:tr w:rsidR="0044268E" w:rsidRPr="00695F5B"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Pr>
          <w:p w:rsidR="0044268E" w:rsidRPr="00695F5B" w:rsidRDefault="0044268E" w:rsidP="00012DE2">
            <w:pPr>
              <w:rPr>
                <w:sz w:val="22"/>
              </w:rPr>
            </w:pPr>
          </w:p>
          <w:p w:rsidR="0044268E" w:rsidRDefault="0044268E" w:rsidP="00012DE2">
            <w:pPr>
              <w:rPr>
                <w:sz w:val="22"/>
              </w:rPr>
            </w:pPr>
            <w:r w:rsidRPr="00695F5B">
              <w:rPr>
                <w:sz w:val="22"/>
              </w:rPr>
              <w:t xml:space="preserve">Declaration of Helsinki: Ethical principles for medical research involving human subjects (2008) </w:t>
            </w:r>
          </w:p>
          <w:p w:rsidR="0044268E" w:rsidRPr="00695F5B" w:rsidRDefault="0044268E" w:rsidP="00012DE2">
            <w:pPr>
              <w:rPr>
                <w:sz w:val="22"/>
              </w:rPr>
            </w:pPr>
          </w:p>
        </w:tc>
        <w:tc>
          <w:tcPr>
            <w:tcW w:w="1201" w:type="pct"/>
          </w:tcPr>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695F5B">
              <w:rPr>
                <w:sz w:val="22"/>
              </w:rPr>
              <w:t>World Medical Association</w:t>
            </w:r>
          </w:p>
        </w:tc>
        <w:tc>
          <w:tcPr>
            <w:tcW w:w="2731" w:type="pct"/>
          </w:tcPr>
          <w:p w:rsidR="0044268E" w:rsidRPr="00695F5B"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C53907"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C53907">
              <w:rPr>
                <w:sz w:val="22"/>
              </w:rPr>
              <w:t>The Declaration of Helsinki is a statement of ethical principles for medical research involving human subjects, including research on identifiable human material and data. It is primarily aimed at physicians but the World Medical Association encourages others who are involved in medical research involving human subjects to adopt these principles.</w:t>
            </w:r>
          </w:p>
          <w:p w:rsidR="0044268E" w:rsidRPr="00C53907" w:rsidRDefault="0044268E" w:rsidP="00012DE2">
            <w:pPr>
              <w:cnfStyle w:val="000000100000" w:firstRow="0" w:lastRow="0" w:firstColumn="0" w:lastColumn="0" w:oddVBand="0" w:evenVBand="0" w:oddHBand="1" w:evenHBand="0" w:firstRowFirstColumn="0" w:firstRowLastColumn="0" w:lastRowFirstColumn="0" w:lastRowLastColumn="0"/>
              <w:rPr>
                <w:sz w:val="22"/>
              </w:rPr>
            </w:pPr>
          </w:p>
        </w:tc>
      </w:tr>
      <w:tr w:rsidR="0044268E" w:rsidRPr="00695F5B" w:rsidTr="00012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Pr>
          <w:p w:rsidR="0044268E" w:rsidRPr="00695F5B" w:rsidRDefault="0044268E" w:rsidP="00012DE2">
            <w:pPr>
              <w:rPr>
                <w:sz w:val="22"/>
              </w:rPr>
            </w:pPr>
          </w:p>
          <w:p w:rsidR="0044268E" w:rsidRDefault="0044268E" w:rsidP="00012DE2">
            <w:pPr>
              <w:rPr>
                <w:sz w:val="22"/>
              </w:rPr>
            </w:pPr>
            <w:r>
              <w:rPr>
                <w:sz w:val="22"/>
              </w:rPr>
              <w:t>ICH Harmonised Tripartite Guidelines: Guideline for g</w:t>
            </w:r>
            <w:r w:rsidRPr="00695F5B">
              <w:rPr>
                <w:sz w:val="22"/>
              </w:rPr>
              <w:t>ood clinical practice (1996)</w:t>
            </w:r>
          </w:p>
          <w:p w:rsidR="0044268E" w:rsidRPr="00695F5B" w:rsidRDefault="0044268E" w:rsidP="00012DE2">
            <w:pPr>
              <w:rPr>
                <w:b w:val="0"/>
                <w:sz w:val="22"/>
              </w:rPr>
            </w:pPr>
          </w:p>
        </w:tc>
        <w:tc>
          <w:tcPr>
            <w:tcW w:w="1201" w:type="pct"/>
          </w:tcPr>
          <w:p w:rsidR="0044268E" w:rsidRPr="00EF67B4"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Pr="00EF67B4"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EF67B4">
              <w:rPr>
                <w:rFonts w:cs="Arial"/>
                <w:sz w:val="22"/>
              </w:rPr>
              <w:t>The International Conference on Harmonisation of Technical Requirements for Registration of Pharmaceuticals for Human Use (ICH)</w:t>
            </w:r>
            <w:r>
              <w:rPr>
                <w:sz w:val="22"/>
              </w:rPr>
              <w:br/>
            </w:r>
          </w:p>
        </w:tc>
        <w:tc>
          <w:tcPr>
            <w:tcW w:w="2731" w:type="pct"/>
          </w:tcPr>
          <w:p w:rsidR="0044268E" w:rsidRPr="00EF67B4"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44268E" w:rsidRPr="00EF67B4"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EF67B4">
              <w:rPr>
                <w:rFonts w:cs="Arial"/>
                <w:sz w:val="22"/>
              </w:rPr>
              <w:t xml:space="preserve">This document describes the responsibilities and expectations of all participants in the conduct of clinical trials, including investigators, monitors, sponsors and </w:t>
            </w:r>
            <w:r>
              <w:rPr>
                <w:rFonts w:cs="Arial"/>
                <w:sz w:val="22"/>
              </w:rPr>
              <w:t>review bodies</w:t>
            </w:r>
            <w:r w:rsidRPr="00EF67B4">
              <w:rPr>
                <w:rFonts w:cs="Arial"/>
                <w:sz w:val="22"/>
              </w:rPr>
              <w:t>.</w:t>
            </w:r>
          </w:p>
        </w:tc>
      </w:tr>
      <w:tr w:rsidR="0044268E" w:rsidRPr="00695F5B"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Pr>
          <w:p w:rsidR="0044268E" w:rsidRPr="00695F5B" w:rsidRDefault="0044268E" w:rsidP="00012DE2">
            <w:pPr>
              <w:rPr>
                <w:sz w:val="22"/>
              </w:rPr>
            </w:pPr>
          </w:p>
          <w:p w:rsidR="0044268E" w:rsidRPr="00695F5B" w:rsidRDefault="0044268E" w:rsidP="00012DE2">
            <w:pPr>
              <w:rPr>
                <w:sz w:val="22"/>
              </w:rPr>
            </w:pPr>
            <w:r>
              <w:rPr>
                <w:sz w:val="22"/>
              </w:rPr>
              <w:t>International Ethical Guidelines for Biomedical Research Involving H</w:t>
            </w:r>
            <w:r w:rsidRPr="00695F5B">
              <w:rPr>
                <w:sz w:val="22"/>
              </w:rPr>
              <w:t xml:space="preserve">uman </w:t>
            </w:r>
            <w:r>
              <w:rPr>
                <w:sz w:val="22"/>
              </w:rPr>
              <w:t>S</w:t>
            </w:r>
            <w:r w:rsidRPr="00695F5B">
              <w:rPr>
                <w:sz w:val="22"/>
              </w:rPr>
              <w:t>ubjects (2002)</w:t>
            </w:r>
          </w:p>
          <w:p w:rsidR="0044268E" w:rsidRPr="00695F5B" w:rsidRDefault="0044268E" w:rsidP="00012DE2">
            <w:pPr>
              <w:rPr>
                <w:b w:val="0"/>
                <w:color w:val="FF0000"/>
                <w:sz w:val="22"/>
              </w:rPr>
            </w:pPr>
          </w:p>
        </w:tc>
        <w:tc>
          <w:tcPr>
            <w:tcW w:w="1201" w:type="pct"/>
          </w:tcPr>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695F5B" w:rsidRDefault="0044268E" w:rsidP="006965F5">
            <w:pPr>
              <w:cnfStyle w:val="000000100000" w:firstRow="0" w:lastRow="0" w:firstColumn="0" w:lastColumn="0" w:oddVBand="0" w:evenVBand="0" w:oddHBand="1" w:evenHBand="0" w:firstRowFirstColumn="0" w:firstRowLastColumn="0" w:lastRowFirstColumn="0" w:lastRowLastColumn="0"/>
              <w:rPr>
                <w:sz w:val="22"/>
              </w:rPr>
            </w:pPr>
            <w:r w:rsidRPr="00695F5B">
              <w:rPr>
                <w:sz w:val="22"/>
              </w:rPr>
              <w:t xml:space="preserve">Council for International Organizations of Medical Sciences and World </w:t>
            </w:r>
            <w:r w:rsidR="006965F5">
              <w:rPr>
                <w:sz w:val="22"/>
              </w:rPr>
              <w:t>H</w:t>
            </w:r>
            <w:r w:rsidRPr="00695F5B">
              <w:rPr>
                <w:sz w:val="22"/>
              </w:rPr>
              <w:t xml:space="preserve">ealth Organization </w:t>
            </w:r>
          </w:p>
        </w:tc>
        <w:tc>
          <w:tcPr>
            <w:tcW w:w="2731" w:type="pct"/>
          </w:tcPr>
          <w:p w:rsidR="0044268E" w:rsidRPr="00695F5B"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C53907" w:rsidRDefault="0044268E" w:rsidP="006965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dvTimes" w:hAnsi="AdvTimes" w:cs="AdvTimes"/>
                <w:sz w:val="22"/>
              </w:rPr>
            </w:pPr>
            <w:r>
              <w:rPr>
                <w:rFonts w:ascii="AdvTimes" w:hAnsi="AdvTimes" w:cs="AdvTimes"/>
                <w:sz w:val="22"/>
              </w:rPr>
              <w:t>These guidelines are designed to be of use in defining national policies on the ethics of biomedical research, applying ethical standards in local circumstances, and establishing or redefining adequate mechanisms for ethical review of research involving human subjects.</w:t>
            </w:r>
          </w:p>
        </w:tc>
      </w:tr>
      <w:tr w:rsidR="0044268E" w:rsidRPr="00695F5B" w:rsidTr="00012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Pr>
          <w:p w:rsidR="0044268E" w:rsidRPr="00695F5B" w:rsidRDefault="0044268E" w:rsidP="00012DE2">
            <w:pPr>
              <w:rPr>
                <w:sz w:val="22"/>
              </w:rPr>
            </w:pPr>
          </w:p>
          <w:p w:rsidR="0044268E" w:rsidRPr="00695F5B" w:rsidRDefault="0044268E" w:rsidP="00012DE2">
            <w:pPr>
              <w:rPr>
                <w:sz w:val="22"/>
              </w:rPr>
            </w:pPr>
            <w:r w:rsidRPr="00695F5B">
              <w:rPr>
                <w:sz w:val="22"/>
              </w:rPr>
              <w:t xml:space="preserve">International </w:t>
            </w:r>
            <w:r>
              <w:rPr>
                <w:sz w:val="22"/>
              </w:rPr>
              <w:t>Ethical Guidelines on Epidemiological Studies (1999)</w:t>
            </w:r>
          </w:p>
          <w:p w:rsidR="0044268E" w:rsidRPr="00695F5B" w:rsidRDefault="0044268E" w:rsidP="00012DE2">
            <w:pPr>
              <w:rPr>
                <w:sz w:val="22"/>
              </w:rPr>
            </w:pPr>
          </w:p>
        </w:tc>
        <w:tc>
          <w:tcPr>
            <w:tcW w:w="1201" w:type="pct"/>
          </w:tcPr>
          <w:p w:rsidR="0044268E" w:rsidRPr="00695F5B"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Pr="00695F5B"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695F5B">
              <w:rPr>
                <w:sz w:val="22"/>
              </w:rPr>
              <w:t>Council for International Organizations of Medical Sciences</w:t>
            </w:r>
          </w:p>
        </w:tc>
        <w:tc>
          <w:tcPr>
            <w:tcW w:w="2731"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rFonts w:ascii="Helvetica" w:hAnsi="Helvetica"/>
                <w:i/>
                <w:iCs/>
                <w:color w:val="0050A1"/>
                <w:sz w:val="18"/>
                <w:szCs w:val="18"/>
              </w:rPr>
            </w:pPr>
          </w:p>
          <w:p w:rsidR="0044268E" w:rsidRDefault="0044268E" w:rsidP="00012DE2">
            <w:pPr>
              <w:cnfStyle w:val="000000010000" w:firstRow="0" w:lastRow="0" w:firstColumn="0" w:lastColumn="0" w:oddVBand="0" w:evenVBand="0" w:oddHBand="0" w:evenHBand="1" w:firstRowFirstColumn="0" w:firstRowLastColumn="0" w:lastRowFirstColumn="0" w:lastRowLastColumn="0"/>
              <w:rPr>
                <w:rFonts w:cs="Arial"/>
                <w:sz w:val="22"/>
              </w:rPr>
            </w:pPr>
            <w:r>
              <w:rPr>
                <w:rFonts w:ascii="AdvTimes" w:hAnsi="AdvTimes" w:cs="AdvTimes"/>
                <w:sz w:val="22"/>
              </w:rPr>
              <w:t xml:space="preserve">These guidelines </w:t>
            </w:r>
            <w:r w:rsidRPr="00C53907">
              <w:rPr>
                <w:rFonts w:cs="Arial"/>
                <w:sz w:val="22"/>
              </w:rPr>
              <w:t>are intended to draw the attention of investigators, sponsors and ethical review committees to the need to consider carefully the ethical implications of research protocols and the manner in which epidemiological research i</w:t>
            </w:r>
            <w:r>
              <w:rPr>
                <w:rFonts w:cs="Arial"/>
                <w:sz w:val="22"/>
              </w:rPr>
              <w:t>s conducted</w:t>
            </w:r>
            <w:r w:rsidRPr="00C53907">
              <w:rPr>
                <w:rFonts w:cs="Arial"/>
                <w:sz w:val="22"/>
              </w:rPr>
              <w:t>.</w:t>
            </w:r>
          </w:p>
          <w:p w:rsidR="0044268E" w:rsidRPr="00C53907" w:rsidRDefault="0044268E" w:rsidP="00012DE2">
            <w:pPr>
              <w:cnfStyle w:val="000000010000" w:firstRow="0" w:lastRow="0" w:firstColumn="0" w:lastColumn="0" w:oddVBand="0" w:evenVBand="0" w:oddHBand="0" w:evenHBand="1" w:firstRowFirstColumn="0" w:firstRowLastColumn="0" w:lastRowFirstColumn="0" w:lastRowLastColumn="0"/>
              <w:rPr>
                <w:rFonts w:cs="Arial"/>
                <w:sz w:val="22"/>
              </w:rPr>
            </w:pPr>
          </w:p>
        </w:tc>
      </w:tr>
      <w:tr w:rsidR="0044268E" w:rsidRPr="00695F5B" w:rsidTr="00012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Pr>
          <w:p w:rsidR="0044268E" w:rsidRPr="00695F5B" w:rsidRDefault="0044268E" w:rsidP="00012DE2">
            <w:pPr>
              <w:rPr>
                <w:sz w:val="22"/>
              </w:rPr>
            </w:pPr>
          </w:p>
          <w:p w:rsidR="0044268E" w:rsidRDefault="0044268E" w:rsidP="00012DE2">
            <w:pPr>
              <w:rPr>
                <w:sz w:val="22"/>
              </w:rPr>
            </w:pPr>
            <w:r>
              <w:rPr>
                <w:sz w:val="22"/>
              </w:rPr>
              <w:t>Recommendations f</w:t>
            </w:r>
            <w:r w:rsidR="006965F5">
              <w:rPr>
                <w:sz w:val="22"/>
              </w:rPr>
              <w:t>or the Conduct, R</w:t>
            </w:r>
            <w:r>
              <w:rPr>
                <w:sz w:val="22"/>
              </w:rPr>
              <w:t>eporting, Editing and Publication of Scholarly Work in Medical Journals (2013)</w:t>
            </w:r>
          </w:p>
          <w:p w:rsidR="0044268E" w:rsidRPr="00695F5B" w:rsidRDefault="0044268E" w:rsidP="00012DE2">
            <w:pPr>
              <w:rPr>
                <w:b w:val="0"/>
                <w:sz w:val="22"/>
              </w:rPr>
            </w:pPr>
          </w:p>
        </w:tc>
        <w:tc>
          <w:tcPr>
            <w:tcW w:w="1201" w:type="pct"/>
          </w:tcPr>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695F5B">
              <w:rPr>
                <w:sz w:val="22"/>
              </w:rPr>
              <w:t xml:space="preserve">International Committee of Medical Journal Editors </w:t>
            </w:r>
          </w:p>
          <w:p w:rsidR="0044268E" w:rsidRPr="00695F5B" w:rsidRDefault="0044268E" w:rsidP="00012DE2">
            <w:pPr>
              <w:cnfStyle w:val="000000100000" w:firstRow="0" w:lastRow="0" w:firstColumn="0" w:lastColumn="0" w:oddVBand="0" w:evenVBand="0" w:oddHBand="1" w:evenHBand="0" w:firstRowFirstColumn="0" w:firstRowLastColumn="0" w:lastRowFirstColumn="0" w:lastRowLastColumn="0"/>
              <w:rPr>
                <w:sz w:val="22"/>
              </w:rPr>
            </w:pPr>
          </w:p>
        </w:tc>
        <w:tc>
          <w:tcPr>
            <w:tcW w:w="2731" w:type="pct"/>
          </w:tcPr>
          <w:p w:rsidR="0044268E" w:rsidRPr="00695F5B"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EF67B4" w:rsidRDefault="0044268E" w:rsidP="00012DE2">
            <w:pPr>
              <w:cnfStyle w:val="000000100000" w:firstRow="0" w:lastRow="0" w:firstColumn="0" w:lastColumn="0" w:oddVBand="0" w:evenVBand="0" w:oddHBand="1" w:evenHBand="0" w:firstRowFirstColumn="0" w:firstRowLastColumn="0" w:lastRowFirstColumn="0" w:lastRowLastColumn="0"/>
              <w:rPr>
                <w:sz w:val="22"/>
              </w:rPr>
            </w:pPr>
            <w:r>
              <w:rPr>
                <w:rFonts w:cs="Arial"/>
                <w:sz w:val="22"/>
                <w:lang w:val="en-GB"/>
              </w:rPr>
              <w:t xml:space="preserve">These recommendations </w:t>
            </w:r>
            <w:r w:rsidRPr="00EF67B4">
              <w:rPr>
                <w:rFonts w:cs="Arial"/>
                <w:sz w:val="22"/>
                <w:lang w:val="en-GB"/>
              </w:rPr>
              <w:t>review best practice and ethical standards in the conduct and reporting of research and other material publis</w:t>
            </w:r>
            <w:r>
              <w:rPr>
                <w:rFonts w:cs="Arial"/>
                <w:sz w:val="22"/>
                <w:lang w:val="en-GB"/>
              </w:rPr>
              <w:t xml:space="preserve">hed in medical journals. They aim to </w:t>
            </w:r>
            <w:r w:rsidRPr="00EF67B4">
              <w:rPr>
                <w:rFonts w:cs="Arial"/>
                <w:sz w:val="22"/>
                <w:lang w:val="en-GB"/>
              </w:rPr>
              <w:t xml:space="preserve">help authors, editors, and others involved in peer review and biomedical publishing create and distribute accurate, clear, unbiased medical journal articles. </w:t>
            </w:r>
          </w:p>
        </w:tc>
      </w:tr>
    </w:tbl>
    <w:p w:rsidR="0044268E" w:rsidRDefault="0044268E" w:rsidP="0044268E"/>
    <w:tbl>
      <w:tblPr>
        <w:tblStyle w:val="MediumShading1-Accent1"/>
        <w:tblW w:w="5021" w:type="pct"/>
        <w:tblLook w:val="04A0" w:firstRow="1" w:lastRow="0" w:firstColumn="1" w:lastColumn="0" w:noHBand="0" w:noVBand="1"/>
      </w:tblPr>
      <w:tblGrid>
        <w:gridCol w:w="2830"/>
        <w:gridCol w:w="4162"/>
        <w:gridCol w:w="7242"/>
      </w:tblGrid>
      <w:tr w:rsidR="0044268E" w:rsidRPr="007C51AC" w:rsidTr="00012DE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gridSpan w:val="3"/>
          </w:tcPr>
          <w:p w:rsidR="0044268E" w:rsidRPr="007C51AC" w:rsidRDefault="0044268E" w:rsidP="0044268E">
            <w:pPr>
              <w:spacing w:before="120" w:after="120"/>
              <w:rPr>
                <w:sz w:val="22"/>
              </w:rPr>
            </w:pPr>
            <w:r w:rsidRPr="007C51AC">
              <w:rPr>
                <w:sz w:val="22"/>
              </w:rPr>
              <w:t xml:space="preserve">Legislation </w:t>
            </w:r>
          </w:p>
        </w:tc>
      </w:tr>
      <w:tr w:rsidR="0044268E" w:rsidRPr="007C51AC" w:rsidTr="00012D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4" w:type="pct"/>
          </w:tcPr>
          <w:p w:rsidR="0044268E" w:rsidRPr="007C51AC" w:rsidRDefault="0044268E" w:rsidP="00012DE2">
            <w:pPr>
              <w:rPr>
                <w:sz w:val="22"/>
              </w:rPr>
            </w:pPr>
          </w:p>
          <w:p w:rsidR="0044268E" w:rsidRPr="007C51AC" w:rsidRDefault="0044268E" w:rsidP="00012DE2">
            <w:pPr>
              <w:rPr>
                <w:sz w:val="22"/>
              </w:rPr>
            </w:pPr>
            <w:r w:rsidRPr="007C51AC">
              <w:rPr>
                <w:sz w:val="22"/>
              </w:rPr>
              <w:t>Accident Compensation Act 2001</w:t>
            </w:r>
          </w:p>
        </w:tc>
        <w:tc>
          <w:tcPr>
            <w:tcW w:w="1462" w:type="pct"/>
          </w:tcPr>
          <w:p w:rsidR="0044268E" w:rsidRPr="007C51AC"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7C51AC" w:rsidRDefault="0044268E" w:rsidP="00012D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äori" w:hAnsi="ArialMäori" w:cs="ArialMäori"/>
                <w:sz w:val="22"/>
              </w:rPr>
            </w:pPr>
            <w:r w:rsidRPr="007C51AC">
              <w:rPr>
                <w:sz w:val="22"/>
              </w:rPr>
              <w:t xml:space="preserve">The </w:t>
            </w:r>
            <w:r w:rsidRPr="007C51AC">
              <w:rPr>
                <w:rFonts w:ascii="ArialMäori" w:hAnsi="ArialMäori" w:cs="ArialMäori"/>
                <w:sz w:val="22"/>
              </w:rPr>
              <w:t xml:space="preserve">Accident Compensation Act governs injury prevention, rehabilitation, and compensation; and establishes the Code of Accident Compensation Corporation (ACC) Claimant’s Rights. </w:t>
            </w:r>
          </w:p>
          <w:p w:rsidR="0044268E" w:rsidRPr="007C51AC" w:rsidRDefault="0044268E" w:rsidP="00012DE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rPr>
            </w:pPr>
          </w:p>
        </w:tc>
        <w:tc>
          <w:tcPr>
            <w:tcW w:w="2544" w:type="pct"/>
          </w:tcPr>
          <w:p w:rsidR="0044268E" w:rsidRPr="007C51AC"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44268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äori" w:hAnsi="ArialMäori" w:cs="ArialMäori"/>
                <w:sz w:val="22"/>
              </w:rPr>
            </w:pPr>
            <w:r w:rsidRPr="007C51AC">
              <w:rPr>
                <w:rFonts w:ascii="ArialMäori" w:hAnsi="ArialMäori" w:cs="ArialMäori"/>
                <w:sz w:val="22"/>
              </w:rPr>
              <w:t>The Act covers some treatment injuries in clinical trials.</w:t>
            </w:r>
          </w:p>
          <w:p w:rsidR="0044268E" w:rsidRDefault="0044268E" w:rsidP="00012DE2">
            <w:pPr>
              <w:autoSpaceDE w:val="0"/>
              <w:autoSpaceDN w:val="0"/>
              <w:adjustRightInd w:val="0"/>
              <w:ind w:left="372"/>
              <w:cnfStyle w:val="000000100000" w:firstRow="0" w:lastRow="0" w:firstColumn="0" w:lastColumn="0" w:oddVBand="0" w:evenVBand="0" w:oddHBand="1" w:evenHBand="0" w:firstRowFirstColumn="0" w:firstRowLastColumn="0" w:lastRowFirstColumn="0" w:lastRowLastColumn="0"/>
              <w:rPr>
                <w:rFonts w:ascii="ArialMäori" w:hAnsi="ArialMäori" w:cs="ArialMäori"/>
                <w:sz w:val="22"/>
              </w:rPr>
            </w:pPr>
          </w:p>
          <w:p w:rsidR="0044268E" w:rsidRDefault="0044268E" w:rsidP="0044268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äori" w:hAnsi="ArialMäori" w:cs="ArialMäori"/>
                <w:sz w:val="22"/>
              </w:rPr>
            </w:pPr>
            <w:r>
              <w:rPr>
                <w:rFonts w:ascii="ArialMäori" w:hAnsi="ArialMäori" w:cs="ArialMäori"/>
                <w:sz w:val="22"/>
              </w:rPr>
              <w:t xml:space="preserve">The </w:t>
            </w:r>
            <w:r w:rsidRPr="007C51AC">
              <w:rPr>
                <w:rFonts w:ascii="ArialMäori" w:hAnsi="ArialMäori" w:cs="ArialMäori"/>
                <w:sz w:val="22"/>
              </w:rPr>
              <w:t>Act specifically excludes from ACC cover any treatment injury from any trial that is conducted ‘principally for the benefit of the manufacturer or distributor of the medicine or item being trialled’.</w:t>
            </w:r>
            <w:r>
              <w:rPr>
                <w:rFonts w:ascii="ArialMäori" w:hAnsi="ArialMäori" w:cs="ArialMäori"/>
                <w:sz w:val="22"/>
              </w:rPr>
              <w:t xml:space="preserve"> (</w:t>
            </w:r>
            <w:r w:rsidRPr="007C51AC">
              <w:rPr>
                <w:rFonts w:ascii="ArialMäori" w:hAnsi="ArialMäori" w:cs="ArialMäori"/>
                <w:sz w:val="22"/>
              </w:rPr>
              <w:t>S</w:t>
            </w:r>
            <w:r>
              <w:rPr>
                <w:rFonts w:ascii="ArialMäori" w:hAnsi="ArialMäori" w:cs="ArialMäori"/>
                <w:sz w:val="22"/>
              </w:rPr>
              <w:t>ection 32 (6))</w:t>
            </w:r>
          </w:p>
          <w:p w:rsidR="0044268E" w:rsidRPr="007C51AC" w:rsidRDefault="0044268E" w:rsidP="00012DE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rPr>
            </w:pPr>
          </w:p>
        </w:tc>
      </w:tr>
      <w:tr w:rsidR="0044268E" w:rsidRPr="007C51AC" w:rsidTr="00012DE2">
        <w:trPr>
          <w:cnfStyle w:val="000000010000" w:firstRow="0" w:lastRow="0" w:firstColumn="0" w:lastColumn="0" w:oddVBand="0" w:evenVBand="0" w:oddHBand="0" w:evenHBand="1" w:firstRowFirstColumn="0" w:firstRowLastColumn="0" w:lastRowFirstColumn="0" w:lastRowLastColumn="0"/>
          <w:trHeight w:val="2007"/>
        </w:trPr>
        <w:tc>
          <w:tcPr>
            <w:cnfStyle w:val="001000000000" w:firstRow="0" w:lastRow="0" w:firstColumn="1" w:lastColumn="0" w:oddVBand="0" w:evenVBand="0" w:oddHBand="0" w:evenHBand="0" w:firstRowFirstColumn="0" w:firstRowLastColumn="0" w:lastRowFirstColumn="0" w:lastRowLastColumn="0"/>
            <w:tcW w:w="994" w:type="pct"/>
          </w:tcPr>
          <w:p w:rsidR="0044268E" w:rsidRPr="007C51AC" w:rsidRDefault="0044268E" w:rsidP="00012DE2">
            <w:pPr>
              <w:rPr>
                <w:sz w:val="22"/>
              </w:rPr>
            </w:pPr>
          </w:p>
          <w:p w:rsidR="0044268E" w:rsidRPr="007C51AC" w:rsidRDefault="0044268E" w:rsidP="00012DE2">
            <w:pPr>
              <w:rPr>
                <w:b w:val="0"/>
                <w:sz w:val="22"/>
              </w:rPr>
            </w:pPr>
            <w:r w:rsidRPr="007C51AC">
              <w:rPr>
                <w:sz w:val="22"/>
              </w:rPr>
              <w:t>Care of Children Act 2004</w:t>
            </w:r>
          </w:p>
          <w:p w:rsidR="0044268E" w:rsidRPr="007C51AC" w:rsidRDefault="0044268E" w:rsidP="00012DE2">
            <w:pPr>
              <w:rPr>
                <w:b w:val="0"/>
                <w:sz w:val="22"/>
              </w:rPr>
            </w:pPr>
          </w:p>
        </w:tc>
        <w:tc>
          <w:tcPr>
            <w:tcW w:w="1462" w:type="pct"/>
          </w:tcPr>
          <w:p w:rsidR="0044268E" w:rsidRPr="007C51AC" w:rsidRDefault="0044268E" w:rsidP="00012DE2">
            <w:pPr>
              <w:cnfStyle w:val="000000010000" w:firstRow="0" w:lastRow="0" w:firstColumn="0" w:lastColumn="0" w:oddVBand="0" w:evenVBand="0" w:oddHBand="0" w:evenHBand="1" w:firstRowFirstColumn="0" w:firstRowLastColumn="0" w:lastRowFirstColumn="0" w:lastRowLastColumn="0"/>
              <w:rPr>
                <w:rFonts w:eastAsia="Calibri"/>
                <w:sz w:val="22"/>
              </w:rPr>
            </w:pPr>
          </w:p>
          <w:p w:rsidR="0044268E" w:rsidRPr="007C51AC" w:rsidRDefault="0044268E" w:rsidP="00012DE2">
            <w:pPr>
              <w:cnfStyle w:val="000000010000" w:firstRow="0" w:lastRow="0" w:firstColumn="0" w:lastColumn="0" w:oddVBand="0" w:evenVBand="0" w:oddHBand="0" w:evenHBand="1" w:firstRowFirstColumn="0" w:firstRowLastColumn="0" w:lastRowFirstColumn="0" w:lastRowLastColumn="0"/>
              <w:rPr>
                <w:sz w:val="22"/>
              </w:rPr>
            </w:pPr>
            <w:r>
              <w:rPr>
                <w:sz w:val="22"/>
              </w:rPr>
              <w:t xml:space="preserve">The Care of Children Act </w:t>
            </w:r>
            <w:r w:rsidRPr="007C51AC">
              <w:rPr>
                <w:sz w:val="22"/>
              </w:rPr>
              <w:t>provides guidance on the care and custody of children and young people; promotes children’s welfare and best interests; and recognises certain rights of children.</w:t>
            </w:r>
          </w:p>
        </w:tc>
        <w:tc>
          <w:tcPr>
            <w:tcW w:w="2544" w:type="pct"/>
          </w:tcPr>
          <w:p w:rsidR="0044268E" w:rsidRPr="007C51AC" w:rsidRDefault="0044268E" w:rsidP="00012DE2">
            <w:pPr>
              <w:pStyle w:val="ListBullet"/>
              <w:tabs>
                <w:tab w:val="clear" w:pos="720"/>
              </w:tabs>
              <w:ind w:left="714" w:firstLine="0"/>
              <w:contextualSpacing w:val="0"/>
              <w:cnfStyle w:val="000000010000" w:firstRow="0" w:lastRow="0" w:firstColumn="0" w:lastColumn="0" w:oddVBand="0" w:evenVBand="0" w:oddHBand="0" w:evenHBand="1" w:firstRowFirstColumn="0" w:firstRowLastColumn="0" w:lastRowFirstColumn="0" w:lastRowLastColumn="0"/>
              <w:rPr>
                <w:rFonts w:eastAsia="Calibri"/>
                <w:sz w:val="22"/>
              </w:rPr>
            </w:pPr>
          </w:p>
          <w:p w:rsidR="0044268E" w:rsidRPr="007C51AC" w:rsidRDefault="0044268E" w:rsidP="0044268E">
            <w:pPr>
              <w:pStyle w:val="ListBullet"/>
              <w:tabs>
                <w:tab w:val="clear" w:pos="720"/>
              </w:tabs>
              <w:ind w:left="0" w:firstLine="0"/>
              <w:cnfStyle w:val="000000010000" w:firstRow="0" w:lastRow="0" w:firstColumn="0" w:lastColumn="0" w:oddVBand="0" w:evenVBand="0" w:oddHBand="0" w:evenHBand="1" w:firstRowFirstColumn="0" w:firstRowLastColumn="0" w:lastRowFirstColumn="0" w:lastRowLastColumn="0"/>
              <w:rPr>
                <w:rFonts w:eastAsia="Calibri" w:cs="Arial"/>
                <w:color w:val="000000"/>
                <w:sz w:val="22"/>
              </w:rPr>
            </w:pPr>
            <w:r>
              <w:rPr>
                <w:rFonts w:eastAsia="Calibri" w:cs="Arial"/>
                <w:color w:val="000000"/>
                <w:sz w:val="22"/>
              </w:rPr>
              <w:t>The Act governs consent to any medical, surgical or dental procedures in relation to a child. (Section 36)</w:t>
            </w:r>
          </w:p>
        </w:tc>
      </w:tr>
      <w:tr w:rsidR="0044268E" w:rsidRPr="007C51AC" w:rsidTr="00012DE2">
        <w:trPr>
          <w:cnfStyle w:val="000000100000" w:firstRow="0" w:lastRow="0" w:firstColumn="0" w:lastColumn="0" w:oddVBand="0" w:evenVBand="0" w:oddHBand="1" w:evenHBand="0" w:firstRowFirstColumn="0" w:firstRowLastColumn="0" w:lastRowFirstColumn="0" w:lastRowLastColumn="0"/>
          <w:trHeight w:val="3099"/>
        </w:trPr>
        <w:tc>
          <w:tcPr>
            <w:cnfStyle w:val="001000000000" w:firstRow="0" w:lastRow="0" w:firstColumn="1" w:lastColumn="0" w:oddVBand="0" w:evenVBand="0" w:oddHBand="0" w:evenHBand="0" w:firstRowFirstColumn="0" w:firstRowLastColumn="0" w:lastRowFirstColumn="0" w:lastRowLastColumn="0"/>
            <w:tcW w:w="994" w:type="pct"/>
          </w:tcPr>
          <w:p w:rsidR="0044268E" w:rsidRPr="007C51AC" w:rsidRDefault="0044268E" w:rsidP="00012DE2">
            <w:pPr>
              <w:rPr>
                <w:sz w:val="22"/>
              </w:rPr>
            </w:pPr>
          </w:p>
          <w:p w:rsidR="0044268E" w:rsidRPr="007C51AC" w:rsidRDefault="0044268E" w:rsidP="00012DE2">
            <w:pPr>
              <w:rPr>
                <w:sz w:val="22"/>
              </w:rPr>
            </w:pPr>
            <w:r w:rsidRPr="007C51AC">
              <w:rPr>
                <w:sz w:val="22"/>
              </w:rPr>
              <w:t>Code of Health and Disability Services Consumers’ Rights 1996 (the Code of Rights)</w:t>
            </w:r>
          </w:p>
        </w:tc>
        <w:tc>
          <w:tcPr>
            <w:tcW w:w="1462" w:type="pct"/>
          </w:tcPr>
          <w:p w:rsidR="0044268E" w:rsidRPr="007C51AC"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7C51AC"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r w:rsidRPr="007C51AC">
              <w:rPr>
                <w:rFonts w:cs="Arial"/>
                <w:sz w:val="22"/>
              </w:rPr>
              <w:t xml:space="preserve">The Code of Rights grants rights to all consumers of health and disability services in New Zealand, and places corresponding obligations on providers of those services.  </w:t>
            </w:r>
          </w:p>
          <w:p w:rsidR="0044268E" w:rsidRPr="007C51AC"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p>
          <w:p w:rsidR="0044268E" w:rsidRPr="005C1D10"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r w:rsidRPr="007C51AC">
              <w:rPr>
                <w:rFonts w:cs="Arial"/>
                <w:sz w:val="22"/>
              </w:rPr>
              <w:t>The Code of Rights is a regulation under the Health and Disability Co</w:t>
            </w:r>
            <w:r>
              <w:rPr>
                <w:rFonts w:cs="Arial"/>
                <w:sz w:val="22"/>
              </w:rPr>
              <w:t>mmission Act 1994 (section 74).</w:t>
            </w:r>
          </w:p>
        </w:tc>
        <w:tc>
          <w:tcPr>
            <w:tcW w:w="2544" w:type="pct"/>
          </w:tcPr>
          <w:p w:rsidR="0044268E" w:rsidRPr="007C51AC"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r w:rsidRPr="006B0D04">
              <w:rPr>
                <w:rFonts w:cs="Arial"/>
                <w:sz w:val="22"/>
              </w:rPr>
              <w:t xml:space="preserve">The rights in the Code of Rights extend to those occasions when a consumer is participating in, or it is proposed that a consumer participate in, research. </w:t>
            </w:r>
          </w:p>
          <w:p w:rsidR="0044268E"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p>
          <w:p w:rsidR="0044268E" w:rsidRPr="00E73E33" w:rsidRDefault="0044268E" w:rsidP="00012DE2">
            <w:pPr>
              <w:cnfStyle w:val="000000100000" w:firstRow="0" w:lastRow="0" w:firstColumn="0" w:lastColumn="0" w:oddVBand="0" w:evenVBand="0" w:oddHBand="1" w:evenHBand="0" w:firstRowFirstColumn="0" w:firstRowLastColumn="0" w:lastRowFirstColumn="0" w:lastRowLastColumn="0"/>
              <w:rPr>
                <w:rFonts w:cs="Arial"/>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E73E33" w:rsidRDefault="0044268E" w:rsidP="00012DE2">
            <w:pPr>
              <w:cnfStyle w:val="000000100000" w:firstRow="0" w:lastRow="0" w:firstColumn="0" w:lastColumn="0" w:oddVBand="0" w:evenVBand="0" w:oddHBand="1" w:evenHBand="0" w:firstRowFirstColumn="0" w:firstRowLastColumn="0" w:lastRowFirstColumn="0" w:lastRowLastColumn="0"/>
              <w:rPr>
                <w:sz w:val="22"/>
              </w:rPr>
            </w:pPr>
          </w:p>
        </w:tc>
      </w:tr>
      <w:tr w:rsidR="0044268E" w:rsidRPr="007C51AC" w:rsidTr="00012DE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4" w:type="pct"/>
          </w:tcPr>
          <w:p w:rsidR="0044268E" w:rsidRPr="007C51AC" w:rsidRDefault="0044268E" w:rsidP="00012DE2">
            <w:pPr>
              <w:rPr>
                <w:sz w:val="22"/>
              </w:rPr>
            </w:pPr>
          </w:p>
          <w:p w:rsidR="0044268E" w:rsidRPr="007C51AC" w:rsidRDefault="0044268E" w:rsidP="00012DE2">
            <w:pPr>
              <w:rPr>
                <w:sz w:val="22"/>
              </w:rPr>
            </w:pPr>
            <w:r w:rsidRPr="007C51AC">
              <w:rPr>
                <w:sz w:val="22"/>
              </w:rPr>
              <w:t>Health and Disability Commissioner Act 1994</w:t>
            </w:r>
          </w:p>
          <w:p w:rsidR="0044268E" w:rsidRPr="007C51AC" w:rsidRDefault="0044268E" w:rsidP="00012DE2">
            <w:pPr>
              <w:rPr>
                <w:sz w:val="22"/>
              </w:rPr>
            </w:pPr>
          </w:p>
        </w:tc>
        <w:tc>
          <w:tcPr>
            <w:tcW w:w="1462" w:type="pct"/>
          </w:tcPr>
          <w:p w:rsidR="0044268E" w:rsidRPr="007C51AC"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Pr="007C51AC"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7C51AC">
              <w:rPr>
                <w:sz w:val="22"/>
              </w:rPr>
              <w:t xml:space="preserve">The Health and Disability Commissioner Act establishes the Health and Disability Commissioner </w:t>
            </w:r>
            <w:r>
              <w:rPr>
                <w:sz w:val="22"/>
              </w:rPr>
              <w:t xml:space="preserve">and facilitates </w:t>
            </w:r>
            <w:r w:rsidRPr="007C51AC">
              <w:rPr>
                <w:sz w:val="22"/>
              </w:rPr>
              <w:t xml:space="preserve">the resolution of complaints relating to infringements of </w:t>
            </w:r>
            <w:r>
              <w:rPr>
                <w:sz w:val="22"/>
              </w:rPr>
              <w:t xml:space="preserve">the </w:t>
            </w:r>
            <w:r w:rsidRPr="007C51AC">
              <w:rPr>
                <w:sz w:val="22"/>
              </w:rPr>
              <w:t>rights</w:t>
            </w:r>
            <w:r>
              <w:rPr>
                <w:sz w:val="22"/>
              </w:rPr>
              <w:t xml:space="preserve"> of health and disability consumers</w:t>
            </w:r>
            <w:r w:rsidRPr="007C51AC">
              <w:rPr>
                <w:sz w:val="22"/>
              </w:rPr>
              <w:t xml:space="preserve">.  </w:t>
            </w:r>
          </w:p>
          <w:p w:rsidR="0044268E" w:rsidRPr="007C51AC" w:rsidRDefault="0044268E" w:rsidP="00012DE2">
            <w:pPr>
              <w:cnfStyle w:val="000000010000" w:firstRow="0" w:lastRow="0" w:firstColumn="0" w:lastColumn="0" w:oddVBand="0" w:evenVBand="0" w:oddHBand="0" w:evenHBand="1" w:firstRowFirstColumn="0" w:firstRowLastColumn="0" w:lastRowFirstColumn="0" w:lastRowLastColumn="0"/>
              <w:rPr>
                <w:sz w:val="22"/>
              </w:rPr>
            </w:pPr>
          </w:p>
        </w:tc>
        <w:tc>
          <w:tcPr>
            <w:tcW w:w="2544" w:type="pct"/>
          </w:tcPr>
          <w:p w:rsidR="0044268E" w:rsidRPr="007C51AC"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44268E" w:rsidRPr="006B0D04"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6B0D04">
              <w:rPr>
                <w:sz w:val="22"/>
              </w:rPr>
              <w:t>The Act gives the Health and Disability Commis</w:t>
            </w:r>
            <w:r>
              <w:rPr>
                <w:sz w:val="22"/>
              </w:rPr>
              <w:t>sioner powers to investigate, a</w:t>
            </w:r>
            <w:r w:rsidRPr="006B0D04">
              <w:rPr>
                <w:sz w:val="22"/>
              </w:rPr>
              <w:t xml:space="preserve"> complaint or on the Commissioner’s own initiative, any action that </w:t>
            </w:r>
            <w:r>
              <w:rPr>
                <w:sz w:val="22"/>
              </w:rPr>
              <w:t xml:space="preserve">may </w:t>
            </w:r>
            <w:r w:rsidRPr="006B0D04">
              <w:rPr>
                <w:sz w:val="22"/>
              </w:rPr>
              <w:t xml:space="preserve">be in breach of the Code of Rights, including in the context of research. </w:t>
            </w:r>
          </w:p>
          <w:p w:rsidR="0044268E" w:rsidRPr="007C51AC"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tc>
      </w:tr>
      <w:tr w:rsidR="0044268E" w:rsidRPr="007C51AC" w:rsidTr="00012D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94" w:type="pct"/>
          </w:tcPr>
          <w:p w:rsidR="0044268E" w:rsidRPr="00C53907" w:rsidRDefault="0044268E" w:rsidP="00012DE2">
            <w:pPr>
              <w:rPr>
                <w:sz w:val="22"/>
              </w:rPr>
            </w:pPr>
          </w:p>
          <w:p w:rsidR="0044268E" w:rsidRPr="00C53907" w:rsidRDefault="0044268E" w:rsidP="00012DE2">
            <w:pPr>
              <w:rPr>
                <w:sz w:val="22"/>
              </w:rPr>
            </w:pPr>
            <w:r w:rsidRPr="00C53907">
              <w:rPr>
                <w:sz w:val="22"/>
              </w:rPr>
              <w:t>Health Information Privacy Code 1994</w:t>
            </w:r>
          </w:p>
          <w:p w:rsidR="0044268E" w:rsidRPr="00C53907" w:rsidRDefault="0044268E" w:rsidP="00012DE2">
            <w:pPr>
              <w:rPr>
                <w:b w:val="0"/>
                <w:color w:val="FF0000"/>
                <w:sz w:val="22"/>
              </w:rPr>
            </w:pPr>
          </w:p>
        </w:tc>
        <w:tc>
          <w:tcPr>
            <w:tcW w:w="1462" w:type="pct"/>
          </w:tcPr>
          <w:p w:rsidR="0044268E" w:rsidRPr="00C53907" w:rsidRDefault="0044268E" w:rsidP="00012DE2">
            <w:pPr>
              <w:tabs>
                <w:tab w:val="num" w:pos="570"/>
                <w:tab w:val="num" w:pos="1163"/>
              </w:tabs>
              <w:spacing w:before="240" w:after="240"/>
              <w:cnfStyle w:val="000000100000" w:firstRow="0" w:lastRow="0" w:firstColumn="0" w:lastColumn="0" w:oddVBand="0" w:evenVBand="0" w:oddHBand="1" w:evenHBand="0" w:firstRowFirstColumn="0" w:firstRowLastColumn="0" w:lastRowFirstColumn="0" w:lastRowLastColumn="0"/>
              <w:rPr>
                <w:rFonts w:cs="Arial"/>
                <w:sz w:val="22"/>
                <w:lang w:val="en-US"/>
              </w:rPr>
            </w:pPr>
            <w:r w:rsidRPr="00C53907">
              <w:rPr>
                <w:sz w:val="22"/>
              </w:rPr>
              <w:t xml:space="preserve">The Health Information Privacy Code </w:t>
            </w:r>
            <w:r w:rsidRPr="00C53907">
              <w:rPr>
                <w:rFonts w:cs="Arial"/>
                <w:sz w:val="22"/>
                <w:lang w:val="en-US"/>
              </w:rPr>
              <w:t>sets specific rules for</w:t>
            </w:r>
            <w:r>
              <w:rPr>
                <w:rFonts w:cs="Arial"/>
                <w:sz w:val="22"/>
                <w:lang w:val="en-US"/>
              </w:rPr>
              <w:t xml:space="preserve"> agencies in the health sector. </w:t>
            </w:r>
            <w:r w:rsidRPr="00C53907">
              <w:rPr>
                <w:rFonts w:cs="Arial"/>
                <w:sz w:val="22"/>
                <w:lang w:val="en-US"/>
              </w:rPr>
              <w:t xml:space="preserve">The 12 rules regulate how health agencies (such as doctors, health insurers and District Health Boards) may collect, hold, use and disclose health information about identifiable individuals. </w:t>
            </w:r>
          </w:p>
          <w:p w:rsidR="0044268E" w:rsidRPr="002C29C0" w:rsidRDefault="0044268E" w:rsidP="00012DE2">
            <w:pPr>
              <w:tabs>
                <w:tab w:val="num" w:pos="570"/>
                <w:tab w:val="num" w:pos="1163"/>
              </w:tabs>
              <w:spacing w:before="240" w:after="240"/>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lang w:val="en-US"/>
              </w:rPr>
              <w:t xml:space="preserve">The Code is established </w:t>
            </w:r>
            <w:r w:rsidRPr="00C53907">
              <w:rPr>
                <w:rFonts w:cs="Arial"/>
                <w:sz w:val="22"/>
                <w:lang w:val="en-US"/>
              </w:rPr>
              <w:t xml:space="preserve">under </w:t>
            </w:r>
            <w:r>
              <w:rPr>
                <w:rFonts w:cs="Arial"/>
                <w:sz w:val="22"/>
                <w:lang w:val="en-US"/>
              </w:rPr>
              <w:t xml:space="preserve">Part 6 of the Privacy Act 1993. </w:t>
            </w:r>
          </w:p>
        </w:tc>
        <w:tc>
          <w:tcPr>
            <w:tcW w:w="2544" w:type="pct"/>
          </w:tcPr>
          <w:p w:rsidR="0044268E" w:rsidRPr="007C51AC"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6B0D04" w:rsidRDefault="0044268E" w:rsidP="006965F5">
            <w:pPr>
              <w:cnfStyle w:val="000000100000" w:firstRow="0" w:lastRow="0" w:firstColumn="0" w:lastColumn="0" w:oddVBand="0" w:evenVBand="0" w:oddHBand="1" w:evenHBand="0" w:firstRowFirstColumn="0" w:firstRowLastColumn="0" w:lastRowFirstColumn="0" w:lastRowLastColumn="0"/>
              <w:rPr>
                <w:sz w:val="22"/>
              </w:rPr>
            </w:pPr>
            <w:r w:rsidRPr="006B0D04">
              <w:rPr>
                <w:sz w:val="22"/>
              </w:rPr>
              <w:t>The rules in the Code apply to research that uses i</w:t>
            </w:r>
            <w:r>
              <w:rPr>
                <w:sz w:val="22"/>
              </w:rPr>
              <w:t xml:space="preserve">dentifiable health information. </w:t>
            </w:r>
            <w:r w:rsidRPr="006B0D04">
              <w:rPr>
                <w:sz w:val="22"/>
              </w:rPr>
              <w:t xml:space="preserve">Rule 5 (storage and security of health information) and Rule 11 (limits </w:t>
            </w:r>
            <w:r w:rsidR="006965F5">
              <w:rPr>
                <w:sz w:val="22"/>
              </w:rPr>
              <w:t>on</w:t>
            </w:r>
            <w:r w:rsidRPr="006B0D04">
              <w:rPr>
                <w:sz w:val="22"/>
              </w:rPr>
              <w:t xml:space="preserve"> disclosure of health information) are </w:t>
            </w:r>
            <w:r>
              <w:rPr>
                <w:sz w:val="22"/>
              </w:rPr>
              <w:t xml:space="preserve">particularly </w:t>
            </w:r>
            <w:r w:rsidRPr="006B0D04">
              <w:rPr>
                <w:sz w:val="22"/>
              </w:rPr>
              <w:t xml:space="preserve">relevant to observational research. </w:t>
            </w:r>
          </w:p>
        </w:tc>
      </w:tr>
      <w:tr w:rsidR="0044268E" w:rsidRPr="007C51AC" w:rsidTr="00012DE2">
        <w:trPr>
          <w:cnfStyle w:val="000000010000" w:firstRow="0" w:lastRow="0" w:firstColumn="0" w:lastColumn="0" w:oddVBand="0" w:evenVBand="0" w:oddHBand="0" w:evenHBand="1"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94" w:type="pct"/>
          </w:tcPr>
          <w:p w:rsidR="0044268E" w:rsidRDefault="0044268E" w:rsidP="00012DE2">
            <w:pPr>
              <w:rPr>
                <w:sz w:val="22"/>
              </w:rPr>
            </w:pPr>
          </w:p>
          <w:p w:rsidR="0044268E" w:rsidRDefault="0044268E" w:rsidP="00012DE2">
            <w:pPr>
              <w:rPr>
                <w:sz w:val="22"/>
              </w:rPr>
            </w:pPr>
            <w:r w:rsidRPr="007C51AC">
              <w:rPr>
                <w:sz w:val="22"/>
              </w:rPr>
              <w:t>Human Assisted Reproductive Technology Act 2004</w:t>
            </w:r>
          </w:p>
          <w:p w:rsidR="0044268E" w:rsidRPr="007C51AC" w:rsidRDefault="0044268E" w:rsidP="00012DE2">
            <w:pPr>
              <w:rPr>
                <w:b w:val="0"/>
                <w:color w:val="FF0000"/>
                <w:sz w:val="22"/>
              </w:rPr>
            </w:pPr>
          </w:p>
        </w:tc>
        <w:tc>
          <w:tcPr>
            <w:tcW w:w="1462"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r>
              <w:rPr>
                <w:sz w:val="22"/>
              </w:rPr>
              <w:t xml:space="preserve"> </w:t>
            </w:r>
          </w:p>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r>
              <w:rPr>
                <w:sz w:val="22"/>
              </w:rPr>
              <w:t xml:space="preserve">The Human Assisted Reproductive Technology Act regulates assisted reproductive procedures and human reproductive research. </w:t>
            </w:r>
          </w:p>
          <w:p w:rsidR="0044268E" w:rsidRPr="007C51AC" w:rsidRDefault="0044268E" w:rsidP="00012DE2">
            <w:pPr>
              <w:cnfStyle w:val="000000010000" w:firstRow="0" w:lastRow="0" w:firstColumn="0" w:lastColumn="0" w:oddVBand="0" w:evenVBand="0" w:oddHBand="0" w:evenHBand="1" w:firstRowFirstColumn="0" w:firstRowLastColumn="0" w:lastRowFirstColumn="0" w:lastRowLastColumn="0"/>
              <w:rPr>
                <w:sz w:val="22"/>
              </w:rPr>
            </w:pPr>
            <w:r>
              <w:rPr>
                <w:sz w:val="22"/>
              </w:rPr>
              <w:t xml:space="preserve">  </w:t>
            </w:r>
          </w:p>
        </w:tc>
        <w:tc>
          <w:tcPr>
            <w:tcW w:w="2544"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2C29C0">
              <w:rPr>
                <w:sz w:val="22"/>
              </w:rPr>
              <w:t xml:space="preserve">The Act requires that human reproductive research </w:t>
            </w:r>
            <w:r>
              <w:rPr>
                <w:sz w:val="22"/>
              </w:rPr>
              <w:t xml:space="preserve">only </w:t>
            </w:r>
            <w:r w:rsidRPr="002C29C0">
              <w:rPr>
                <w:sz w:val="22"/>
              </w:rPr>
              <w:t>be conducted on an individual where the individual has made an informed ch</w:t>
            </w:r>
            <w:r>
              <w:rPr>
                <w:sz w:val="22"/>
              </w:rPr>
              <w:t xml:space="preserve">oice and given informed consent. Human reproductive research must be approved by the Ethics Committee on Assisted Reproductive Technology and approved research must be undertaken in accordance with the guidelines issued by the Advisory Committee of Human Reproductive Technology. </w:t>
            </w:r>
          </w:p>
          <w:p w:rsidR="0044268E" w:rsidRPr="006B0D04" w:rsidRDefault="0044268E" w:rsidP="00012DE2">
            <w:pPr>
              <w:cnfStyle w:val="000000010000" w:firstRow="0" w:lastRow="0" w:firstColumn="0" w:lastColumn="0" w:oddVBand="0" w:evenVBand="0" w:oddHBand="0" w:evenHBand="1" w:firstRowFirstColumn="0" w:firstRowLastColumn="0" w:lastRowFirstColumn="0" w:lastRowLastColumn="0"/>
              <w:rPr>
                <w:sz w:val="22"/>
              </w:rPr>
            </w:pPr>
          </w:p>
        </w:tc>
      </w:tr>
      <w:tr w:rsidR="0044268E" w:rsidRPr="007C51AC" w:rsidTr="00012DE2">
        <w:trPr>
          <w:cnfStyle w:val="000000100000" w:firstRow="0" w:lastRow="0" w:firstColumn="0" w:lastColumn="0" w:oddVBand="0" w:evenVBand="0" w:oddHBand="1" w:evenHBand="0"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994" w:type="pct"/>
          </w:tcPr>
          <w:p w:rsidR="0044268E" w:rsidRPr="007C51AC" w:rsidRDefault="0044268E" w:rsidP="00012DE2">
            <w:pPr>
              <w:rPr>
                <w:sz w:val="22"/>
              </w:rPr>
            </w:pPr>
          </w:p>
          <w:p w:rsidR="0044268E" w:rsidRPr="007C51AC" w:rsidRDefault="0044268E" w:rsidP="00012DE2">
            <w:pPr>
              <w:rPr>
                <w:sz w:val="22"/>
              </w:rPr>
            </w:pPr>
            <w:r w:rsidRPr="007C51AC">
              <w:rPr>
                <w:sz w:val="22"/>
              </w:rPr>
              <w:t>Human Tissue Act 1998</w:t>
            </w:r>
          </w:p>
          <w:p w:rsidR="0044268E" w:rsidRPr="007C51AC" w:rsidRDefault="0044268E" w:rsidP="00012DE2">
            <w:pPr>
              <w:rPr>
                <w:sz w:val="22"/>
              </w:rPr>
            </w:pPr>
            <w:r w:rsidRPr="007C51AC">
              <w:rPr>
                <w:sz w:val="22"/>
              </w:rPr>
              <w:t xml:space="preserve"> </w:t>
            </w:r>
          </w:p>
        </w:tc>
        <w:tc>
          <w:tcPr>
            <w:tcW w:w="1462" w:type="pct"/>
          </w:tcPr>
          <w:p w:rsidR="0044268E"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6B0D04"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6B0D04">
              <w:rPr>
                <w:sz w:val="22"/>
              </w:rPr>
              <w:t xml:space="preserve">The Human Tissue Act regulates the collection, supply, and trade of human tissue and human tissue products in New Zealand. </w:t>
            </w:r>
          </w:p>
          <w:p w:rsidR="0044268E" w:rsidRPr="007C51AC" w:rsidRDefault="0044268E" w:rsidP="00012DE2">
            <w:pPr>
              <w:cnfStyle w:val="000000100000" w:firstRow="0" w:lastRow="0" w:firstColumn="0" w:lastColumn="0" w:oddVBand="0" w:evenVBand="0" w:oddHBand="1" w:evenHBand="0" w:firstRowFirstColumn="0" w:firstRowLastColumn="0" w:lastRowFirstColumn="0" w:lastRowLastColumn="0"/>
              <w:rPr>
                <w:sz w:val="22"/>
              </w:rPr>
            </w:pPr>
          </w:p>
        </w:tc>
        <w:tc>
          <w:tcPr>
            <w:tcW w:w="2544" w:type="pct"/>
          </w:tcPr>
          <w:p w:rsidR="0044268E" w:rsidRPr="00904ED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904EDE"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904EDE">
              <w:rPr>
                <w:sz w:val="22"/>
              </w:rPr>
              <w:t xml:space="preserve">The Act </w:t>
            </w:r>
            <w:r>
              <w:rPr>
                <w:sz w:val="22"/>
              </w:rPr>
              <w:t>specifies the circumstances when human tissue may be</w:t>
            </w:r>
            <w:r w:rsidRPr="00904EDE">
              <w:rPr>
                <w:sz w:val="22"/>
              </w:rPr>
              <w:t xml:space="preserve"> </w:t>
            </w:r>
            <w:r>
              <w:rPr>
                <w:sz w:val="22"/>
              </w:rPr>
              <w:t xml:space="preserve">collected and used with and without informed consent, and specifies the processes of informed consent </w:t>
            </w:r>
            <w:r w:rsidRPr="00904EDE">
              <w:rPr>
                <w:sz w:val="22"/>
              </w:rPr>
              <w:t>(sections 9, 14, 19, 21, 22, 24 and 31)</w:t>
            </w:r>
            <w:r>
              <w:rPr>
                <w:sz w:val="22"/>
              </w:rPr>
              <w:t xml:space="preserve">. </w:t>
            </w:r>
          </w:p>
          <w:p w:rsidR="0044268E" w:rsidRPr="00904EDE"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tc>
      </w:tr>
      <w:tr w:rsidR="0044268E" w:rsidRPr="007C51AC" w:rsidTr="00012DE2">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994" w:type="pct"/>
          </w:tcPr>
          <w:p w:rsidR="0044268E" w:rsidRPr="007C51AC" w:rsidRDefault="0044268E" w:rsidP="00012DE2">
            <w:pPr>
              <w:rPr>
                <w:sz w:val="22"/>
              </w:rPr>
            </w:pPr>
          </w:p>
          <w:p w:rsidR="0044268E" w:rsidRPr="007C51AC" w:rsidRDefault="0044268E" w:rsidP="00012DE2">
            <w:pPr>
              <w:rPr>
                <w:sz w:val="22"/>
              </w:rPr>
            </w:pPr>
            <w:r w:rsidRPr="007C51AC">
              <w:rPr>
                <w:sz w:val="22"/>
              </w:rPr>
              <w:t>Medicines Act 1981</w:t>
            </w:r>
          </w:p>
          <w:p w:rsidR="0044268E" w:rsidRPr="007C51AC" w:rsidRDefault="0044268E" w:rsidP="00012DE2">
            <w:pPr>
              <w:rPr>
                <w:sz w:val="22"/>
              </w:rPr>
            </w:pPr>
          </w:p>
        </w:tc>
        <w:tc>
          <w:tcPr>
            <w:tcW w:w="1462" w:type="pct"/>
          </w:tcPr>
          <w:p w:rsidR="0044268E"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44268E" w:rsidRPr="002B47BD" w:rsidRDefault="0044268E" w:rsidP="00012DE2">
            <w:pPr>
              <w:cnfStyle w:val="000000010000" w:firstRow="0" w:lastRow="0" w:firstColumn="0" w:lastColumn="0" w:oddVBand="0" w:evenVBand="0" w:oddHBand="0" w:evenHBand="1" w:firstRowFirstColumn="0" w:firstRowLastColumn="0" w:lastRowFirstColumn="0" w:lastRowLastColumn="0"/>
              <w:rPr>
                <w:sz w:val="22"/>
              </w:rPr>
            </w:pPr>
            <w:r w:rsidRPr="002B47BD">
              <w:rPr>
                <w:sz w:val="22"/>
              </w:rPr>
              <w:t>The Medicines Act regulates medicines, related products and medical devices in New Zealand. The Act ensures that the medicines and products used in New Zealand are safe and effective.</w:t>
            </w:r>
          </w:p>
          <w:p w:rsidR="0044268E" w:rsidRPr="002B47BD" w:rsidRDefault="0044268E" w:rsidP="00012DE2">
            <w:pPr>
              <w:cnfStyle w:val="000000010000" w:firstRow="0" w:lastRow="0" w:firstColumn="0" w:lastColumn="0" w:oddVBand="0" w:evenVBand="0" w:oddHBand="0" w:evenHBand="1" w:firstRowFirstColumn="0" w:firstRowLastColumn="0" w:lastRowFirstColumn="0" w:lastRowLastColumn="0"/>
              <w:rPr>
                <w:sz w:val="22"/>
              </w:rPr>
            </w:pPr>
          </w:p>
        </w:tc>
        <w:tc>
          <w:tcPr>
            <w:tcW w:w="2544" w:type="pct"/>
          </w:tcPr>
          <w:p w:rsidR="0044268E"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p w:rsidR="0044268E" w:rsidRPr="002B47BD" w:rsidRDefault="006965F5" w:rsidP="00012DE2">
            <w:pPr>
              <w:spacing w:after="120"/>
              <w:cnfStyle w:val="000000010000" w:firstRow="0" w:lastRow="0" w:firstColumn="0" w:lastColumn="0" w:oddVBand="0" w:evenVBand="0" w:oddHBand="0" w:evenHBand="1" w:firstRowFirstColumn="0" w:firstRowLastColumn="0" w:lastRowFirstColumn="0" w:lastRowLastColumn="0"/>
              <w:rPr>
                <w:sz w:val="22"/>
              </w:rPr>
            </w:pPr>
            <w:r>
              <w:rPr>
                <w:sz w:val="22"/>
              </w:rPr>
              <w:t xml:space="preserve">The </w:t>
            </w:r>
            <w:r w:rsidR="0044268E">
              <w:rPr>
                <w:sz w:val="22"/>
              </w:rPr>
              <w:t xml:space="preserve">Gene Technology Advisory Committee </w:t>
            </w:r>
            <w:r w:rsidR="0044268E">
              <w:rPr>
                <w:rFonts w:cs="Arial"/>
                <w:sz w:val="22"/>
              </w:rPr>
              <w:t>m</w:t>
            </w:r>
            <w:r w:rsidR="0044268E" w:rsidRPr="002B47BD">
              <w:rPr>
                <w:rFonts w:cs="Arial"/>
                <w:sz w:val="22"/>
              </w:rPr>
              <w:t xml:space="preserve">akes recommendations </w:t>
            </w:r>
            <w:r w:rsidR="0044268E" w:rsidRPr="002B47BD">
              <w:rPr>
                <w:sz w:val="22"/>
              </w:rPr>
              <w:t xml:space="preserve">to the Director-General of Health for </w:t>
            </w:r>
            <w:r w:rsidR="0044268E" w:rsidRPr="002B47BD">
              <w:rPr>
                <w:rFonts w:cs="Arial"/>
                <w:sz w:val="22"/>
              </w:rPr>
              <w:t>an exemption under section 30 of the Act to allow trials related to gene therapy and other protocols involving administration of nucleic acids to proceed.</w:t>
            </w:r>
          </w:p>
          <w:p w:rsidR="0044268E" w:rsidRPr="002B47BD" w:rsidRDefault="0044268E" w:rsidP="00012DE2">
            <w:pPr>
              <w:spacing w:after="120"/>
              <w:cnfStyle w:val="000000010000" w:firstRow="0" w:lastRow="0" w:firstColumn="0" w:lastColumn="0" w:oddVBand="0" w:evenVBand="0" w:oddHBand="0" w:evenHBand="1" w:firstRowFirstColumn="0" w:firstRowLastColumn="0" w:lastRowFirstColumn="0" w:lastRowLastColumn="0"/>
              <w:rPr>
                <w:sz w:val="22"/>
              </w:rPr>
            </w:pPr>
            <w:r>
              <w:rPr>
                <w:sz w:val="22"/>
              </w:rPr>
              <w:t xml:space="preserve">Under section 30 of the Act </w:t>
            </w:r>
            <w:r w:rsidRPr="002B47BD">
              <w:rPr>
                <w:sz w:val="22"/>
              </w:rPr>
              <w:t>the Standing Committee on Therapeutic Trials makes recommendations to the Director-General of Health on whether or not clinical trials that involve the use of a new medicine should be approved.</w:t>
            </w:r>
          </w:p>
          <w:p w:rsidR="0044268E" w:rsidRPr="002B47BD" w:rsidRDefault="0044268E" w:rsidP="00012DE2">
            <w:pPr>
              <w:cnfStyle w:val="000000010000" w:firstRow="0" w:lastRow="0" w:firstColumn="0" w:lastColumn="0" w:oddVBand="0" w:evenVBand="0" w:oddHBand="0" w:evenHBand="1" w:firstRowFirstColumn="0" w:firstRowLastColumn="0" w:lastRowFirstColumn="0" w:lastRowLastColumn="0"/>
              <w:rPr>
                <w:sz w:val="22"/>
              </w:rPr>
            </w:pPr>
          </w:p>
        </w:tc>
      </w:tr>
      <w:tr w:rsidR="0044268E" w:rsidRPr="007C51AC" w:rsidTr="00012DE2">
        <w:trPr>
          <w:cnfStyle w:val="000000100000" w:firstRow="0" w:lastRow="0" w:firstColumn="0" w:lastColumn="0" w:oddVBand="0" w:evenVBand="0" w:oddHBand="1"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994" w:type="pct"/>
          </w:tcPr>
          <w:p w:rsidR="0044268E" w:rsidRPr="007C51AC" w:rsidRDefault="0044268E" w:rsidP="00012DE2">
            <w:pPr>
              <w:rPr>
                <w:sz w:val="22"/>
              </w:rPr>
            </w:pPr>
          </w:p>
          <w:p w:rsidR="0044268E" w:rsidRPr="007C51AC" w:rsidRDefault="0044268E" w:rsidP="00012DE2">
            <w:pPr>
              <w:rPr>
                <w:sz w:val="22"/>
              </w:rPr>
            </w:pPr>
            <w:r w:rsidRPr="007C51AC">
              <w:rPr>
                <w:sz w:val="22"/>
              </w:rPr>
              <w:t xml:space="preserve">New Zealand Bill of Rights Act 1990 </w:t>
            </w:r>
          </w:p>
          <w:p w:rsidR="0044268E" w:rsidRDefault="0044268E" w:rsidP="00012DE2">
            <w:pPr>
              <w:rPr>
                <w:sz w:val="22"/>
              </w:rPr>
            </w:pPr>
          </w:p>
          <w:p w:rsidR="0044268E" w:rsidRDefault="0044268E" w:rsidP="00012DE2">
            <w:pPr>
              <w:rPr>
                <w:sz w:val="22"/>
              </w:rPr>
            </w:pPr>
          </w:p>
          <w:p w:rsidR="0044268E" w:rsidRDefault="0044268E" w:rsidP="00012DE2">
            <w:pPr>
              <w:rPr>
                <w:sz w:val="22"/>
              </w:rPr>
            </w:pPr>
          </w:p>
          <w:p w:rsidR="0044268E" w:rsidRDefault="0044268E" w:rsidP="00012DE2">
            <w:pPr>
              <w:rPr>
                <w:sz w:val="22"/>
              </w:rPr>
            </w:pPr>
          </w:p>
          <w:p w:rsidR="0044268E" w:rsidRDefault="0044268E" w:rsidP="00012DE2">
            <w:pPr>
              <w:rPr>
                <w:sz w:val="22"/>
              </w:rPr>
            </w:pPr>
          </w:p>
          <w:p w:rsidR="0044268E" w:rsidRPr="007C51AC" w:rsidRDefault="0044268E" w:rsidP="00012DE2">
            <w:pPr>
              <w:rPr>
                <w:sz w:val="22"/>
              </w:rPr>
            </w:pPr>
          </w:p>
        </w:tc>
        <w:tc>
          <w:tcPr>
            <w:tcW w:w="1462" w:type="pct"/>
          </w:tcPr>
          <w:p w:rsidR="0044268E"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Pr="002161C1"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2161C1">
              <w:rPr>
                <w:sz w:val="22"/>
              </w:rPr>
              <w:t xml:space="preserve">The Bill of Rights Act sets out the rights and fundamental freedoms of anyone subject to New Zealand law. </w:t>
            </w:r>
          </w:p>
        </w:tc>
        <w:tc>
          <w:tcPr>
            <w:tcW w:w="2544" w:type="pct"/>
          </w:tcPr>
          <w:p w:rsidR="0044268E" w:rsidRDefault="0044268E" w:rsidP="00012DE2">
            <w:pPr>
              <w:pStyle w:val="ListParagraph"/>
              <w:ind w:left="360"/>
              <w:cnfStyle w:val="000000100000" w:firstRow="0" w:lastRow="0" w:firstColumn="0" w:lastColumn="0" w:oddVBand="0" w:evenVBand="0" w:oddHBand="1" w:evenHBand="0" w:firstRowFirstColumn="0" w:firstRowLastColumn="0" w:lastRowFirstColumn="0" w:lastRowLastColumn="0"/>
              <w:rPr>
                <w:sz w:val="22"/>
              </w:rPr>
            </w:pP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572886">
              <w:rPr>
                <w:sz w:val="22"/>
              </w:rPr>
              <w:t xml:space="preserve">The Bill of Rights </w:t>
            </w:r>
            <w:r>
              <w:rPr>
                <w:sz w:val="22"/>
              </w:rPr>
              <w:t xml:space="preserve">applies to </w:t>
            </w:r>
            <w:r w:rsidRPr="00572886">
              <w:rPr>
                <w:sz w:val="22"/>
              </w:rPr>
              <w:t xml:space="preserve">a person being physically involved in research (as opposed to using their health information). </w:t>
            </w:r>
          </w:p>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572886" w:rsidRDefault="0044268E" w:rsidP="00012DE2">
            <w:pPr>
              <w:cnfStyle w:val="000000100000" w:firstRow="0" w:lastRow="0" w:firstColumn="0" w:lastColumn="0" w:oddVBand="0" w:evenVBand="0" w:oddHBand="1" w:evenHBand="0" w:firstRowFirstColumn="0" w:firstRowLastColumn="0" w:lastRowFirstColumn="0" w:lastRowLastColumn="0"/>
              <w:rPr>
                <w:sz w:val="22"/>
              </w:rPr>
            </w:pPr>
            <w:r>
              <w:rPr>
                <w:sz w:val="22"/>
              </w:rPr>
              <w:t>Under the Act every person has the right not to be subject to medical or scientific experimentation without that person’s consent (section</w:t>
            </w:r>
            <w:r w:rsidRPr="00572886">
              <w:rPr>
                <w:sz w:val="22"/>
              </w:rPr>
              <w:t xml:space="preserve"> 10</w:t>
            </w:r>
            <w:r>
              <w:rPr>
                <w:sz w:val="22"/>
              </w:rPr>
              <w:t xml:space="preserve">) and everyone has the right to refuse to undergo any medical treatment (section </w:t>
            </w:r>
            <w:r w:rsidRPr="00572886">
              <w:rPr>
                <w:sz w:val="22"/>
              </w:rPr>
              <w:t>11</w:t>
            </w:r>
            <w:r>
              <w:rPr>
                <w:sz w:val="22"/>
              </w:rPr>
              <w:t xml:space="preserve">). </w:t>
            </w:r>
          </w:p>
        </w:tc>
      </w:tr>
      <w:tr w:rsidR="0044268E" w:rsidRPr="007C51AC" w:rsidTr="00012DE2">
        <w:trPr>
          <w:cnfStyle w:val="000000010000" w:firstRow="0" w:lastRow="0" w:firstColumn="0" w:lastColumn="0" w:oddVBand="0" w:evenVBand="0" w:oddHBand="0" w:evenHBand="1"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994" w:type="pct"/>
          </w:tcPr>
          <w:p w:rsidR="0044268E" w:rsidRDefault="0044268E" w:rsidP="00012DE2">
            <w:pPr>
              <w:rPr>
                <w:sz w:val="22"/>
              </w:rPr>
            </w:pPr>
          </w:p>
          <w:p w:rsidR="0044268E" w:rsidRPr="007C51AC" w:rsidRDefault="0044268E" w:rsidP="00012DE2">
            <w:pPr>
              <w:rPr>
                <w:sz w:val="22"/>
              </w:rPr>
            </w:pPr>
            <w:r w:rsidRPr="007C51AC">
              <w:rPr>
                <w:sz w:val="22"/>
              </w:rPr>
              <w:t>Privacy Act 1993</w:t>
            </w:r>
          </w:p>
          <w:p w:rsidR="0044268E" w:rsidRPr="007C51AC" w:rsidRDefault="0044268E" w:rsidP="00012DE2">
            <w:pPr>
              <w:rPr>
                <w:sz w:val="22"/>
              </w:rPr>
            </w:pPr>
          </w:p>
        </w:tc>
        <w:tc>
          <w:tcPr>
            <w:tcW w:w="1462"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r>
              <w:rPr>
                <w:sz w:val="22"/>
              </w:rPr>
              <w:t xml:space="preserve">The Privacy Act regulates how public and private sector agencies may collect, hold, use and disclose personal information about identifiable individuals. </w:t>
            </w:r>
          </w:p>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Pr="007C51AC" w:rsidRDefault="0044268E" w:rsidP="00012DE2">
            <w:pPr>
              <w:cnfStyle w:val="000000010000" w:firstRow="0" w:lastRow="0" w:firstColumn="0" w:lastColumn="0" w:oddVBand="0" w:evenVBand="0" w:oddHBand="0" w:evenHBand="1" w:firstRowFirstColumn="0" w:firstRowLastColumn="0" w:lastRowFirstColumn="0" w:lastRowLastColumn="0"/>
              <w:rPr>
                <w:sz w:val="22"/>
              </w:rPr>
            </w:pPr>
          </w:p>
        </w:tc>
        <w:tc>
          <w:tcPr>
            <w:tcW w:w="2544" w:type="pct"/>
          </w:tcPr>
          <w:p w:rsidR="0044268E" w:rsidRDefault="0044268E" w:rsidP="00012DE2">
            <w:pPr>
              <w:cnfStyle w:val="000000010000" w:firstRow="0" w:lastRow="0" w:firstColumn="0" w:lastColumn="0" w:oddVBand="0" w:evenVBand="0" w:oddHBand="0" w:evenHBand="1" w:firstRowFirstColumn="0" w:firstRowLastColumn="0" w:lastRowFirstColumn="0" w:lastRowLastColumn="0"/>
              <w:rPr>
                <w:sz w:val="22"/>
              </w:rPr>
            </w:pPr>
          </w:p>
          <w:p w:rsidR="0044268E" w:rsidRDefault="006965F5" w:rsidP="00012DE2">
            <w:pPr>
              <w:cnfStyle w:val="000000010000" w:firstRow="0" w:lastRow="0" w:firstColumn="0" w:lastColumn="0" w:oddVBand="0" w:evenVBand="0" w:oddHBand="0" w:evenHBand="1" w:firstRowFirstColumn="0" w:firstRowLastColumn="0" w:lastRowFirstColumn="0" w:lastRowLastColumn="0"/>
              <w:rPr>
                <w:sz w:val="22"/>
              </w:rPr>
            </w:pPr>
            <w:r>
              <w:rPr>
                <w:sz w:val="22"/>
              </w:rPr>
              <w:t>The</w:t>
            </w:r>
            <w:r w:rsidR="0044268E">
              <w:rPr>
                <w:sz w:val="22"/>
              </w:rPr>
              <w:t xml:space="preserve"> Act specifies 12 information privacy principles. In particular, principle 5 governs the way personal information is stored and principle 11 places restrictions on how people and organisations can disclose personal information. </w:t>
            </w:r>
          </w:p>
          <w:p w:rsidR="0044268E" w:rsidRPr="007C51AC" w:rsidRDefault="0044268E" w:rsidP="00012DE2">
            <w:pPr>
              <w:pStyle w:val="ListParagraph"/>
              <w:ind w:left="360"/>
              <w:cnfStyle w:val="000000010000" w:firstRow="0" w:lastRow="0" w:firstColumn="0" w:lastColumn="0" w:oddVBand="0" w:evenVBand="0" w:oddHBand="0" w:evenHBand="1" w:firstRowFirstColumn="0" w:firstRowLastColumn="0" w:lastRowFirstColumn="0" w:lastRowLastColumn="0"/>
              <w:rPr>
                <w:sz w:val="22"/>
              </w:rPr>
            </w:pPr>
          </w:p>
        </w:tc>
      </w:tr>
      <w:tr w:rsidR="0044268E" w:rsidRPr="007C51AC" w:rsidTr="00012DE2">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994" w:type="pct"/>
          </w:tcPr>
          <w:p w:rsidR="0044268E" w:rsidRDefault="0044268E" w:rsidP="00012DE2">
            <w:pPr>
              <w:rPr>
                <w:sz w:val="22"/>
              </w:rPr>
            </w:pPr>
          </w:p>
          <w:p w:rsidR="0044268E" w:rsidRDefault="0044268E" w:rsidP="00012DE2">
            <w:pPr>
              <w:rPr>
                <w:sz w:val="22"/>
              </w:rPr>
            </w:pPr>
            <w:r w:rsidRPr="00493154">
              <w:rPr>
                <w:sz w:val="22"/>
              </w:rPr>
              <w:t>Protection of Personal and Property Rights Act 1988</w:t>
            </w:r>
          </w:p>
          <w:p w:rsidR="0044268E" w:rsidRDefault="0044268E" w:rsidP="00012DE2"/>
        </w:tc>
        <w:tc>
          <w:tcPr>
            <w:tcW w:w="1462" w:type="pct"/>
          </w:tcPr>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725F1B" w:rsidRDefault="0044268E" w:rsidP="00012DE2">
            <w:pPr>
              <w:cnfStyle w:val="000000100000" w:firstRow="0" w:lastRow="0" w:firstColumn="0" w:lastColumn="0" w:oddVBand="0" w:evenVBand="0" w:oddHBand="1" w:evenHBand="0" w:firstRowFirstColumn="0" w:firstRowLastColumn="0" w:lastRowFirstColumn="0" w:lastRowLastColumn="0"/>
              <w:rPr>
                <w:rFonts w:ascii="PT Sans" w:hAnsi="PT Sans"/>
                <w:sz w:val="22"/>
              </w:rPr>
            </w:pPr>
            <w:r w:rsidRPr="00725F1B">
              <w:rPr>
                <w:sz w:val="22"/>
              </w:rPr>
              <w:t xml:space="preserve">The Protection of Personal and Property Rights Act </w:t>
            </w:r>
            <w:r w:rsidRPr="00725F1B">
              <w:rPr>
                <w:rFonts w:cs="Arial"/>
                <w:sz w:val="22"/>
              </w:rPr>
              <w:t xml:space="preserve">provides for the protection and promotion of the personal and property rights of </w:t>
            </w:r>
            <w:r>
              <w:rPr>
                <w:rFonts w:cs="Arial"/>
                <w:sz w:val="22"/>
              </w:rPr>
              <w:t xml:space="preserve">those </w:t>
            </w:r>
            <w:r w:rsidRPr="00725F1B">
              <w:rPr>
                <w:rFonts w:cs="Arial"/>
                <w:sz w:val="22"/>
              </w:rPr>
              <w:t xml:space="preserve">who are no longer fully able to manage their own affairs. </w:t>
            </w:r>
          </w:p>
          <w:p w:rsidR="0044268E" w:rsidRDefault="0044268E" w:rsidP="00012DE2">
            <w:pPr>
              <w:cnfStyle w:val="000000100000" w:firstRow="0" w:lastRow="0" w:firstColumn="0" w:lastColumn="0" w:oddVBand="0" w:evenVBand="0" w:oddHBand="1" w:evenHBand="0" w:firstRowFirstColumn="0" w:firstRowLastColumn="0" w:lastRowFirstColumn="0" w:lastRowLastColumn="0"/>
            </w:pPr>
          </w:p>
        </w:tc>
        <w:tc>
          <w:tcPr>
            <w:tcW w:w="2544" w:type="pct"/>
          </w:tcPr>
          <w:p w:rsidR="0044268E" w:rsidRDefault="0044268E" w:rsidP="00012DE2">
            <w:pPr>
              <w:cnfStyle w:val="000000100000" w:firstRow="0" w:lastRow="0" w:firstColumn="0" w:lastColumn="0" w:oddVBand="0" w:evenVBand="0" w:oddHBand="1" w:evenHBand="0" w:firstRowFirstColumn="0" w:firstRowLastColumn="0" w:lastRowFirstColumn="0" w:lastRowLastColumn="0"/>
              <w:rPr>
                <w:sz w:val="22"/>
              </w:rPr>
            </w:pPr>
          </w:p>
          <w:p w:rsidR="0044268E" w:rsidRPr="00725F1B" w:rsidRDefault="0044268E" w:rsidP="00012DE2">
            <w:pPr>
              <w:cnfStyle w:val="000000100000" w:firstRow="0" w:lastRow="0" w:firstColumn="0" w:lastColumn="0" w:oddVBand="0" w:evenVBand="0" w:oddHBand="1" w:evenHBand="0" w:firstRowFirstColumn="0" w:firstRowLastColumn="0" w:lastRowFirstColumn="0" w:lastRowLastColumn="0"/>
              <w:rPr>
                <w:sz w:val="22"/>
              </w:rPr>
            </w:pPr>
            <w:r w:rsidRPr="00725F1B">
              <w:rPr>
                <w:sz w:val="22"/>
              </w:rPr>
              <w:t xml:space="preserve">The Act permits a welfare guardian to consent on behalf of a person without capacity to take part in research that is conducted for the purpose of saving their life or preventing serious damage to that person’s health (section 18). </w:t>
            </w:r>
          </w:p>
          <w:p w:rsidR="0044268E" w:rsidRDefault="0044268E" w:rsidP="00012DE2">
            <w:pPr>
              <w:cnfStyle w:val="000000100000" w:firstRow="0" w:lastRow="0" w:firstColumn="0" w:lastColumn="0" w:oddVBand="0" w:evenVBand="0" w:oddHBand="1" w:evenHBand="0" w:firstRowFirstColumn="0" w:firstRowLastColumn="0" w:lastRowFirstColumn="0" w:lastRowLastColumn="0"/>
            </w:pPr>
          </w:p>
        </w:tc>
      </w:tr>
    </w:tbl>
    <w:p w:rsidR="0044268E" w:rsidRDefault="0044268E" w:rsidP="0044268E"/>
    <w:p w:rsidR="00CC44F5" w:rsidRDefault="00CC44F5" w:rsidP="0044268E">
      <w:pPr>
        <w:pStyle w:val="Heading1"/>
        <w:spacing w:before="0" w:line="240" w:lineRule="auto"/>
        <w:sectPr w:rsidR="00CC44F5" w:rsidSect="0044268E">
          <w:pgSz w:w="16838" w:h="11906" w:orient="landscape"/>
          <w:pgMar w:top="1440" w:right="1440" w:bottom="1440" w:left="1440" w:header="709" w:footer="709" w:gutter="0"/>
          <w:cols w:space="708"/>
          <w:titlePg/>
          <w:docGrid w:linePitch="360"/>
        </w:sectPr>
      </w:pPr>
    </w:p>
    <w:p w:rsidR="00CC44F5" w:rsidRDefault="00CC44F5" w:rsidP="00CC44F5">
      <w:pPr>
        <w:pStyle w:val="Heading1"/>
        <w:spacing w:before="0" w:line="240" w:lineRule="auto"/>
      </w:pPr>
      <w:bookmarkStart w:id="30" w:name="_Toc401587744"/>
      <w:r>
        <w:t>Appendix 4:  NEAC’s Goals, Objectives and Desired Outcomes of an Ethical Review System</w:t>
      </w:r>
      <w:bookmarkEnd w:id="30"/>
    </w:p>
    <w:p w:rsidR="00F3746F" w:rsidRDefault="00F3746F" w:rsidP="00F3746F">
      <w:pPr>
        <w:autoSpaceDE w:val="0"/>
        <w:autoSpaceDN w:val="0"/>
        <w:adjustRightInd w:val="0"/>
        <w:spacing w:after="0" w:line="240" w:lineRule="auto"/>
        <w:rPr>
          <w:rFonts w:cs="Arial"/>
          <w:color w:val="000000"/>
          <w:sz w:val="22"/>
        </w:rPr>
      </w:pPr>
    </w:p>
    <w:p w:rsidR="00F3746F" w:rsidRDefault="00F3746F" w:rsidP="00F3746F">
      <w:pPr>
        <w:autoSpaceDE w:val="0"/>
        <w:autoSpaceDN w:val="0"/>
        <w:adjustRightInd w:val="0"/>
        <w:spacing w:after="0" w:line="240" w:lineRule="auto"/>
        <w:rPr>
          <w:rFonts w:cs="Arial"/>
          <w:color w:val="000000"/>
          <w:szCs w:val="24"/>
        </w:rPr>
      </w:pPr>
      <w:r w:rsidRPr="00F3746F">
        <w:rPr>
          <w:rFonts w:cs="Arial"/>
          <w:color w:val="000000"/>
          <w:sz w:val="22"/>
        </w:rPr>
        <w:t xml:space="preserve">The National Ethics Advisory Committee – </w:t>
      </w:r>
      <w:proofErr w:type="spellStart"/>
      <w:r w:rsidRPr="00F3746F">
        <w:rPr>
          <w:rFonts w:cs="Arial"/>
          <w:color w:val="000000"/>
          <w:sz w:val="22"/>
        </w:rPr>
        <w:t>Kāhui</w:t>
      </w:r>
      <w:proofErr w:type="spellEnd"/>
      <w:r w:rsidRPr="00F3746F">
        <w:rPr>
          <w:rFonts w:cs="Arial"/>
          <w:color w:val="000000"/>
          <w:sz w:val="22"/>
        </w:rPr>
        <w:t xml:space="preserve"> </w:t>
      </w:r>
      <w:proofErr w:type="spellStart"/>
      <w:r w:rsidRPr="00F3746F">
        <w:rPr>
          <w:rFonts w:cs="Arial"/>
          <w:color w:val="000000"/>
          <w:sz w:val="22"/>
        </w:rPr>
        <w:t>Matatika</w:t>
      </w:r>
      <w:proofErr w:type="spellEnd"/>
      <w:r w:rsidRPr="00F3746F">
        <w:rPr>
          <w:rFonts w:cs="Arial"/>
          <w:color w:val="000000"/>
          <w:sz w:val="22"/>
        </w:rPr>
        <w:t xml:space="preserve"> o </w:t>
      </w:r>
      <w:proofErr w:type="spellStart"/>
      <w:r w:rsidRPr="00F3746F">
        <w:rPr>
          <w:rFonts w:cs="Arial"/>
          <w:color w:val="000000"/>
          <w:sz w:val="22"/>
        </w:rPr>
        <w:t>te</w:t>
      </w:r>
      <w:proofErr w:type="spellEnd"/>
      <w:r w:rsidRPr="00F3746F">
        <w:rPr>
          <w:rFonts w:cs="Arial"/>
          <w:color w:val="000000"/>
          <w:sz w:val="22"/>
        </w:rPr>
        <w:t xml:space="preserve"> Motu (NEAC) has issued a statement of </w:t>
      </w:r>
      <w:r w:rsidRPr="00F3746F">
        <w:rPr>
          <w:rFonts w:cs="Arial"/>
          <w:i/>
          <w:iCs/>
          <w:color w:val="000000"/>
          <w:sz w:val="22"/>
        </w:rPr>
        <w:t xml:space="preserve">Goals, Objectives, and Desired Outcomes of an Ethical Review System </w:t>
      </w:r>
      <w:r w:rsidRPr="00F3746F">
        <w:rPr>
          <w:rFonts w:cs="Arial"/>
          <w:color w:val="000000"/>
          <w:sz w:val="22"/>
        </w:rPr>
        <w:t>(GODO) in accordance with its statutory function to ‘determine nationally consistent ethical standards across the health sector’ (New Zealand Public Health and Disability Act 2000, s.16).</w:t>
      </w:r>
    </w:p>
    <w:p w:rsidR="00F3746F" w:rsidRDefault="00F3746F" w:rsidP="00F3746F">
      <w:pPr>
        <w:autoSpaceDE w:val="0"/>
        <w:autoSpaceDN w:val="0"/>
        <w:adjustRightInd w:val="0"/>
        <w:spacing w:after="0" w:line="240" w:lineRule="auto"/>
        <w:rPr>
          <w:rFonts w:cs="Arial"/>
          <w:color w:val="000000"/>
          <w:szCs w:val="24"/>
        </w:rPr>
      </w:pPr>
    </w:p>
    <w:p w:rsidR="00F3746F" w:rsidRDefault="00F3746F" w:rsidP="00F3746F">
      <w:pPr>
        <w:autoSpaceDE w:val="0"/>
        <w:autoSpaceDN w:val="0"/>
        <w:adjustRightInd w:val="0"/>
        <w:spacing w:after="0" w:line="240" w:lineRule="auto"/>
        <w:rPr>
          <w:rFonts w:cs="Arial"/>
          <w:color w:val="000000"/>
          <w:szCs w:val="24"/>
        </w:rPr>
      </w:pPr>
      <w:r w:rsidRPr="00F3746F">
        <w:rPr>
          <w:rFonts w:cs="Arial"/>
          <w:color w:val="000000"/>
          <w:sz w:val="22"/>
        </w:rPr>
        <w:t>The ethical review system includes ethical aspects of self-review, peer review, ethics committee review, and specialist review of health and disability research and related activity. It applies established ethical standards to research and related activity. GODO states established goals, objectives and desired outcomes that are to be applied to the ethical review system itself.</w:t>
      </w:r>
    </w:p>
    <w:p w:rsidR="00F3746F" w:rsidRDefault="00F3746F" w:rsidP="00F3746F">
      <w:pPr>
        <w:autoSpaceDE w:val="0"/>
        <w:autoSpaceDN w:val="0"/>
        <w:adjustRightInd w:val="0"/>
        <w:spacing w:after="0" w:line="240" w:lineRule="auto"/>
        <w:rPr>
          <w:rFonts w:cs="Arial"/>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F3746F" w:rsidTr="00F3746F">
        <w:tc>
          <w:tcPr>
            <w:tcW w:w="9242" w:type="dxa"/>
            <w:gridSpan w:val="2"/>
          </w:tcPr>
          <w:p w:rsidR="00F3746F" w:rsidRPr="00F3746F" w:rsidRDefault="00F3746F" w:rsidP="00F3746F">
            <w:pPr>
              <w:autoSpaceDE w:val="0"/>
              <w:autoSpaceDN w:val="0"/>
              <w:adjustRightInd w:val="0"/>
              <w:rPr>
                <w:rFonts w:cs="Arial"/>
                <w:b/>
                <w:color w:val="000000"/>
                <w:szCs w:val="24"/>
              </w:rPr>
            </w:pPr>
            <w:r w:rsidRPr="00F3746F">
              <w:rPr>
                <w:rFonts w:cs="Arial"/>
                <w:b/>
                <w:color w:val="365F91" w:themeColor="accent1" w:themeShade="BF"/>
                <w:szCs w:val="24"/>
              </w:rPr>
              <w:t>Overall Goals</w:t>
            </w:r>
          </w:p>
        </w:tc>
      </w:tr>
      <w:tr w:rsidR="00F3746F" w:rsidTr="00F3746F">
        <w:tc>
          <w:tcPr>
            <w:tcW w:w="9242" w:type="dxa"/>
            <w:gridSpan w:val="2"/>
          </w:tcPr>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Facilitate research and innovative practice that contributes to knowledge and improved health outcomes</w:t>
            </w:r>
          </w:p>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Protect participants in health and disability research and innovative treatment</w:t>
            </w:r>
          </w:p>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Find a balance that minimises risks and maximises benefits arising from health and disability research</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Recognise and respect the principles of the Treaty of Waitangi by enabling Māori to contribute to the ethical review system for health and disability research</w:t>
            </w:r>
          </w:p>
          <w:p w:rsidR="00F3746F" w:rsidRDefault="00F3746F" w:rsidP="00F3746F">
            <w:pPr>
              <w:autoSpaceDE w:val="0"/>
              <w:autoSpaceDN w:val="0"/>
              <w:adjustRightInd w:val="0"/>
              <w:rPr>
                <w:rFonts w:cs="Arial"/>
                <w:color w:val="000000"/>
                <w:szCs w:val="24"/>
              </w:rPr>
            </w:pPr>
          </w:p>
        </w:tc>
      </w:tr>
      <w:tr w:rsidR="00F3746F" w:rsidTr="00F3746F">
        <w:tc>
          <w:tcPr>
            <w:tcW w:w="2518" w:type="dxa"/>
          </w:tcPr>
          <w:p w:rsidR="00F3746F" w:rsidRPr="00F3746F" w:rsidRDefault="00F3746F" w:rsidP="00F3746F">
            <w:pPr>
              <w:autoSpaceDE w:val="0"/>
              <w:autoSpaceDN w:val="0"/>
              <w:adjustRightInd w:val="0"/>
              <w:rPr>
                <w:rFonts w:cs="Arial"/>
                <w:b/>
                <w:color w:val="365F91" w:themeColor="accent1" w:themeShade="BF"/>
                <w:szCs w:val="24"/>
              </w:rPr>
            </w:pPr>
            <w:r w:rsidRPr="00F3746F">
              <w:rPr>
                <w:rFonts w:cs="Arial"/>
                <w:b/>
                <w:color w:val="365F91" w:themeColor="accent1" w:themeShade="BF"/>
                <w:szCs w:val="24"/>
              </w:rPr>
              <w:t>Objectives</w:t>
            </w:r>
          </w:p>
          <w:p w:rsidR="00F3746F" w:rsidRPr="00F3746F" w:rsidRDefault="00F3746F" w:rsidP="00F3746F">
            <w:pPr>
              <w:autoSpaceDE w:val="0"/>
              <w:autoSpaceDN w:val="0"/>
              <w:adjustRightInd w:val="0"/>
              <w:rPr>
                <w:rFonts w:cs="Arial"/>
                <w:b/>
                <w:color w:val="365F91" w:themeColor="accent1" w:themeShade="BF"/>
                <w:szCs w:val="24"/>
              </w:rPr>
            </w:pPr>
          </w:p>
        </w:tc>
        <w:tc>
          <w:tcPr>
            <w:tcW w:w="6724" w:type="dxa"/>
          </w:tcPr>
          <w:p w:rsidR="00F3746F" w:rsidRPr="00F3746F" w:rsidRDefault="00F3746F" w:rsidP="00F3746F">
            <w:pPr>
              <w:autoSpaceDE w:val="0"/>
              <w:autoSpaceDN w:val="0"/>
              <w:adjustRightInd w:val="0"/>
              <w:rPr>
                <w:rFonts w:cs="Arial"/>
                <w:b/>
                <w:color w:val="365F91" w:themeColor="accent1" w:themeShade="BF"/>
                <w:szCs w:val="24"/>
              </w:rPr>
            </w:pPr>
            <w:r w:rsidRPr="00F3746F">
              <w:rPr>
                <w:rFonts w:cs="Arial"/>
                <w:b/>
                <w:color w:val="365F91" w:themeColor="accent1" w:themeShade="BF"/>
                <w:szCs w:val="24"/>
              </w:rPr>
              <w:t>Desired outcomes</w:t>
            </w:r>
          </w:p>
        </w:tc>
      </w:tr>
      <w:tr w:rsidR="00F3746F" w:rsidTr="00F3746F">
        <w:tc>
          <w:tcPr>
            <w:tcW w:w="2518" w:type="dxa"/>
          </w:tcPr>
          <w:p w:rsidR="00F3746F" w:rsidRPr="00F3746F" w:rsidRDefault="00F3746F" w:rsidP="00F3746F">
            <w:pPr>
              <w:autoSpaceDE w:val="0"/>
              <w:autoSpaceDN w:val="0"/>
              <w:adjustRightInd w:val="0"/>
              <w:rPr>
                <w:rFonts w:cs="Arial"/>
                <w:b/>
                <w:color w:val="000000"/>
                <w:szCs w:val="24"/>
              </w:rPr>
            </w:pPr>
            <w:r w:rsidRPr="00F3746F">
              <w:rPr>
                <w:rFonts w:cs="Arial"/>
                <w:b/>
                <w:bCs/>
                <w:color w:val="76923C" w:themeColor="accent3" w:themeShade="BF"/>
                <w:sz w:val="22"/>
              </w:rPr>
              <w:t>Accountable</w:t>
            </w:r>
          </w:p>
        </w:tc>
        <w:tc>
          <w:tcPr>
            <w:tcW w:w="6724" w:type="dxa"/>
          </w:tcPr>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Public accountability requirements are defined.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Ethical reviews meet internationally recognised standards.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Cs w:val="24"/>
              </w:rPr>
            </w:pPr>
            <w:r w:rsidRPr="00F3746F">
              <w:rPr>
                <w:rFonts w:cs="Arial"/>
                <w:color w:val="000000"/>
                <w:sz w:val="22"/>
              </w:rPr>
              <w:t xml:space="preserve">Ethical reviews take into account relevant legislation. </w:t>
            </w:r>
          </w:p>
          <w:p w:rsidR="00F3746F" w:rsidRPr="00F3746F" w:rsidRDefault="00F3746F" w:rsidP="00F3746F">
            <w:pPr>
              <w:autoSpaceDE w:val="0"/>
              <w:autoSpaceDN w:val="0"/>
              <w:adjustRightInd w:val="0"/>
              <w:spacing w:before="120"/>
              <w:rPr>
                <w:rFonts w:cs="Arial"/>
                <w:color w:val="000000"/>
                <w:szCs w:val="24"/>
              </w:rPr>
            </w:pPr>
          </w:p>
        </w:tc>
      </w:tr>
      <w:tr w:rsidR="00F3746F" w:rsidTr="00F3746F">
        <w:tc>
          <w:tcPr>
            <w:tcW w:w="2518" w:type="dxa"/>
          </w:tcPr>
          <w:p w:rsidR="00F3746F" w:rsidRPr="00F3746F" w:rsidRDefault="00F3746F" w:rsidP="00F3746F">
            <w:pPr>
              <w:autoSpaceDE w:val="0"/>
              <w:autoSpaceDN w:val="0"/>
              <w:adjustRightInd w:val="0"/>
              <w:rPr>
                <w:rFonts w:cs="Arial"/>
                <w:b/>
                <w:color w:val="000000"/>
                <w:szCs w:val="24"/>
              </w:rPr>
            </w:pPr>
            <w:r w:rsidRPr="00F3746F">
              <w:rPr>
                <w:rFonts w:cs="Arial"/>
                <w:b/>
                <w:bCs/>
                <w:color w:val="76923C" w:themeColor="accent3" w:themeShade="BF"/>
                <w:sz w:val="22"/>
              </w:rPr>
              <w:t>Enabling</w:t>
            </w:r>
          </w:p>
        </w:tc>
        <w:tc>
          <w:tcPr>
            <w:tcW w:w="6724" w:type="dxa"/>
          </w:tcPr>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Research participants/subjects are protected.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Quality research is facilitated.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Review processes are clear about jurisdiction and coverage.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Awareness of ethical practice among all stakeholders is developed. </w:t>
            </w:r>
          </w:p>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Good communication with affect</w:t>
            </w:r>
            <w:r>
              <w:rPr>
                <w:rFonts w:cs="Arial"/>
                <w:color w:val="000000"/>
                <w:sz w:val="22"/>
              </w:rPr>
              <w:t>ed communities is demonstrated.</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Local input is achieved.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Positive relationships with all stakeholders are developed. </w:t>
            </w:r>
          </w:p>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System review mechanisms are in place. </w:t>
            </w:r>
          </w:p>
          <w:p w:rsidR="00F3746F" w:rsidRPr="00F3746F" w:rsidRDefault="00F3746F" w:rsidP="00F3746F">
            <w:pPr>
              <w:pStyle w:val="ListParagraph"/>
              <w:autoSpaceDE w:val="0"/>
              <w:autoSpaceDN w:val="0"/>
              <w:adjustRightInd w:val="0"/>
              <w:spacing w:before="120"/>
              <w:ind w:left="714"/>
              <w:contextualSpacing w:val="0"/>
              <w:rPr>
                <w:rFonts w:cs="Arial"/>
                <w:color w:val="000000"/>
                <w:sz w:val="22"/>
              </w:rPr>
            </w:pPr>
          </w:p>
          <w:p w:rsidR="00F3746F" w:rsidRDefault="00F3746F" w:rsidP="00F3746F">
            <w:pPr>
              <w:autoSpaceDE w:val="0"/>
              <w:autoSpaceDN w:val="0"/>
              <w:adjustRightInd w:val="0"/>
              <w:rPr>
                <w:rFonts w:cs="Arial"/>
                <w:color w:val="000000"/>
                <w:szCs w:val="24"/>
              </w:rPr>
            </w:pPr>
          </w:p>
        </w:tc>
      </w:tr>
    </w:tbl>
    <w:p w:rsidR="00F3746F" w:rsidRDefault="00F3746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F3746F" w:rsidTr="00F3746F">
        <w:tc>
          <w:tcPr>
            <w:tcW w:w="2518" w:type="dxa"/>
          </w:tcPr>
          <w:p w:rsidR="00F3746F" w:rsidRDefault="00F3746F" w:rsidP="00F3746F">
            <w:pPr>
              <w:autoSpaceDE w:val="0"/>
              <w:autoSpaceDN w:val="0"/>
              <w:adjustRightInd w:val="0"/>
              <w:rPr>
                <w:rFonts w:cs="Arial"/>
                <w:color w:val="000000"/>
                <w:szCs w:val="24"/>
              </w:rPr>
            </w:pPr>
            <w:r w:rsidRPr="00F3746F">
              <w:rPr>
                <w:rFonts w:cs="Arial"/>
                <w:b/>
                <w:bCs/>
                <w:color w:val="76923C" w:themeColor="accent3" w:themeShade="BF"/>
                <w:sz w:val="22"/>
              </w:rPr>
              <w:t>Informed</w:t>
            </w:r>
          </w:p>
        </w:tc>
        <w:tc>
          <w:tcPr>
            <w:tcW w:w="6724" w:type="dxa"/>
          </w:tcPr>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Researchers consider ethical implications from the outset; </w:t>
            </w:r>
            <w:proofErr w:type="spellStart"/>
            <w:r w:rsidRPr="00F3746F">
              <w:rPr>
                <w:rFonts w:cs="Arial"/>
                <w:color w:val="000000"/>
                <w:sz w:val="22"/>
              </w:rPr>
              <w:t>eg</w:t>
            </w:r>
            <w:proofErr w:type="spellEnd"/>
            <w:r w:rsidRPr="00F3746F">
              <w:rPr>
                <w:rFonts w:cs="Arial"/>
                <w:color w:val="000000"/>
                <w:sz w:val="22"/>
              </w:rPr>
              <w:t xml:space="preserve">, there is clarification of who will benefit from the research (participants, the public, etc.).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The perspectives of affected communities are included.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Review processes are proactive and attend to emergent issues, and are responsive to change over time.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Review processes apply appropriate expertise.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Scientific and ethi</w:t>
            </w:r>
            <w:r>
              <w:rPr>
                <w:rFonts w:cs="Arial"/>
                <w:color w:val="000000"/>
                <w:sz w:val="22"/>
              </w:rPr>
              <w:t>cal standards are considered alo</w:t>
            </w:r>
            <w:r w:rsidRPr="00F3746F">
              <w:rPr>
                <w:rFonts w:cs="Arial"/>
                <w:color w:val="000000"/>
                <w:sz w:val="22"/>
              </w:rPr>
              <w:t xml:space="preserve">ngside each other where appropriate.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Decision-making is consistent. </w:t>
            </w:r>
          </w:p>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Review capacity and relevant expertise are maintained and developed</w:t>
            </w:r>
          </w:p>
          <w:p w:rsidR="00F3746F" w:rsidRPr="00F3746F" w:rsidRDefault="00F3746F" w:rsidP="00F3746F">
            <w:pPr>
              <w:pStyle w:val="ListParagraph"/>
              <w:autoSpaceDE w:val="0"/>
              <w:autoSpaceDN w:val="0"/>
              <w:adjustRightInd w:val="0"/>
              <w:spacing w:before="120"/>
              <w:ind w:left="714"/>
              <w:contextualSpacing w:val="0"/>
              <w:rPr>
                <w:rFonts w:cs="Arial"/>
                <w:color w:val="000000"/>
                <w:sz w:val="22"/>
              </w:rPr>
            </w:pPr>
          </w:p>
          <w:p w:rsidR="00F3746F" w:rsidRDefault="00F3746F" w:rsidP="00F3746F">
            <w:pPr>
              <w:autoSpaceDE w:val="0"/>
              <w:autoSpaceDN w:val="0"/>
              <w:adjustRightInd w:val="0"/>
              <w:rPr>
                <w:rFonts w:cs="Arial"/>
                <w:color w:val="000000"/>
                <w:szCs w:val="24"/>
              </w:rPr>
            </w:pPr>
          </w:p>
        </w:tc>
      </w:tr>
      <w:tr w:rsidR="00F3746F" w:rsidTr="00F3746F">
        <w:tc>
          <w:tcPr>
            <w:tcW w:w="2518" w:type="dxa"/>
          </w:tcPr>
          <w:p w:rsidR="00F3746F" w:rsidRDefault="00F3746F" w:rsidP="00F3746F">
            <w:pPr>
              <w:autoSpaceDE w:val="0"/>
              <w:autoSpaceDN w:val="0"/>
              <w:adjustRightInd w:val="0"/>
              <w:rPr>
                <w:rFonts w:cs="Arial"/>
                <w:color w:val="000000"/>
                <w:szCs w:val="24"/>
              </w:rPr>
            </w:pPr>
            <w:r w:rsidRPr="00F3746F">
              <w:rPr>
                <w:rFonts w:cs="Arial"/>
                <w:b/>
                <w:bCs/>
                <w:color w:val="76923C" w:themeColor="accent3" w:themeShade="BF"/>
                <w:sz w:val="22"/>
              </w:rPr>
              <w:t>Enabling of Māori participation</w:t>
            </w:r>
          </w:p>
        </w:tc>
        <w:tc>
          <w:tcPr>
            <w:tcW w:w="6724" w:type="dxa"/>
          </w:tcPr>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A Māori ethical framework is developed and implemented.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Consultation with Māori is collaborative, genuine, inclusive, and appropriate.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Māori participation in the decision-making component of the system is facilitated.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The potential for diversity of opinion across iwi and regions is recognised and respected. </w:t>
            </w:r>
          </w:p>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Māori research capability is facilitated. </w:t>
            </w:r>
          </w:p>
          <w:p w:rsidR="00F3746F" w:rsidRPr="00F3746F" w:rsidRDefault="00F3746F" w:rsidP="00F3746F">
            <w:pPr>
              <w:pStyle w:val="ListParagraph"/>
              <w:autoSpaceDE w:val="0"/>
              <w:autoSpaceDN w:val="0"/>
              <w:adjustRightInd w:val="0"/>
              <w:spacing w:before="120"/>
              <w:ind w:left="714"/>
              <w:contextualSpacing w:val="0"/>
              <w:rPr>
                <w:rFonts w:cs="Arial"/>
                <w:color w:val="000000"/>
                <w:sz w:val="22"/>
              </w:rPr>
            </w:pPr>
          </w:p>
          <w:p w:rsidR="00F3746F" w:rsidRDefault="00F3746F" w:rsidP="00F3746F">
            <w:pPr>
              <w:autoSpaceDE w:val="0"/>
              <w:autoSpaceDN w:val="0"/>
              <w:adjustRightInd w:val="0"/>
              <w:rPr>
                <w:rFonts w:cs="Arial"/>
                <w:color w:val="000000"/>
                <w:szCs w:val="24"/>
              </w:rPr>
            </w:pPr>
          </w:p>
        </w:tc>
      </w:tr>
      <w:tr w:rsidR="00F3746F" w:rsidTr="00F3746F">
        <w:tc>
          <w:tcPr>
            <w:tcW w:w="2518" w:type="dxa"/>
          </w:tcPr>
          <w:p w:rsidR="00F3746F" w:rsidRDefault="00F3746F" w:rsidP="00F3746F">
            <w:pPr>
              <w:autoSpaceDE w:val="0"/>
              <w:autoSpaceDN w:val="0"/>
              <w:adjustRightInd w:val="0"/>
              <w:rPr>
                <w:rFonts w:cs="Arial"/>
                <w:color w:val="000000"/>
                <w:szCs w:val="24"/>
              </w:rPr>
            </w:pPr>
            <w:r w:rsidRPr="00F3746F">
              <w:rPr>
                <w:rFonts w:cs="Arial"/>
                <w:b/>
                <w:bCs/>
                <w:color w:val="76923C" w:themeColor="accent3" w:themeShade="BF"/>
                <w:sz w:val="22"/>
              </w:rPr>
              <w:t>Fair</w:t>
            </w:r>
          </w:p>
        </w:tc>
        <w:tc>
          <w:tcPr>
            <w:tcW w:w="6724" w:type="dxa"/>
          </w:tcPr>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Review processes are independent.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Stakeholders have access to due process.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Outcomes of processes are equitable.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Applicants to review processes have the right of reply. </w:t>
            </w:r>
          </w:p>
          <w:p w:rsid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Conflicts of interest are acknowledged and addressed. </w:t>
            </w:r>
          </w:p>
          <w:p w:rsidR="00F3746F" w:rsidRPr="00F3746F" w:rsidRDefault="00F3746F" w:rsidP="00F3746F">
            <w:pPr>
              <w:pStyle w:val="ListParagraph"/>
              <w:autoSpaceDE w:val="0"/>
              <w:autoSpaceDN w:val="0"/>
              <w:adjustRightInd w:val="0"/>
              <w:spacing w:before="120"/>
              <w:ind w:left="714"/>
              <w:contextualSpacing w:val="0"/>
              <w:rPr>
                <w:rFonts w:cs="Arial"/>
                <w:color w:val="000000"/>
                <w:sz w:val="22"/>
              </w:rPr>
            </w:pPr>
          </w:p>
          <w:p w:rsidR="00F3746F" w:rsidRDefault="00F3746F" w:rsidP="00F3746F">
            <w:pPr>
              <w:autoSpaceDE w:val="0"/>
              <w:autoSpaceDN w:val="0"/>
              <w:adjustRightInd w:val="0"/>
              <w:rPr>
                <w:rFonts w:cs="Arial"/>
                <w:color w:val="000000"/>
                <w:szCs w:val="24"/>
              </w:rPr>
            </w:pPr>
          </w:p>
        </w:tc>
      </w:tr>
      <w:tr w:rsidR="00F3746F" w:rsidTr="00F3746F">
        <w:tc>
          <w:tcPr>
            <w:tcW w:w="2518" w:type="dxa"/>
          </w:tcPr>
          <w:p w:rsidR="00F3746F" w:rsidRDefault="00F3746F" w:rsidP="00F3746F">
            <w:pPr>
              <w:autoSpaceDE w:val="0"/>
              <w:autoSpaceDN w:val="0"/>
              <w:adjustRightInd w:val="0"/>
              <w:rPr>
                <w:rFonts w:cs="Arial"/>
                <w:color w:val="000000"/>
                <w:szCs w:val="24"/>
              </w:rPr>
            </w:pPr>
            <w:r w:rsidRPr="00F3746F">
              <w:rPr>
                <w:rFonts w:cs="Arial"/>
                <w:b/>
                <w:bCs/>
                <w:color w:val="76923C" w:themeColor="accent3" w:themeShade="BF"/>
                <w:sz w:val="22"/>
              </w:rPr>
              <w:t>Efficient</w:t>
            </w:r>
          </w:p>
        </w:tc>
        <w:tc>
          <w:tcPr>
            <w:tcW w:w="6724" w:type="dxa"/>
          </w:tcPr>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Time and resources are used productively.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Reviews are timely. </w:t>
            </w:r>
          </w:p>
          <w:p w:rsidR="00F3746F" w:rsidRPr="00F3746F" w:rsidRDefault="00F3746F" w:rsidP="00F3746F">
            <w:pPr>
              <w:pStyle w:val="ListParagraph"/>
              <w:numPr>
                <w:ilvl w:val="0"/>
                <w:numId w:val="45"/>
              </w:numPr>
              <w:autoSpaceDE w:val="0"/>
              <w:autoSpaceDN w:val="0"/>
              <w:adjustRightInd w:val="0"/>
              <w:spacing w:before="120"/>
              <w:ind w:left="714" w:hanging="357"/>
              <w:contextualSpacing w:val="0"/>
              <w:rPr>
                <w:rFonts w:cs="Arial"/>
                <w:color w:val="000000"/>
                <w:sz w:val="22"/>
              </w:rPr>
            </w:pPr>
            <w:r w:rsidRPr="00F3746F">
              <w:rPr>
                <w:rFonts w:cs="Arial"/>
                <w:color w:val="000000"/>
                <w:sz w:val="22"/>
              </w:rPr>
              <w:t xml:space="preserve">Sector guidance is updated regularly, with opportunity for all stakeholders to participate. </w:t>
            </w:r>
          </w:p>
          <w:p w:rsidR="00F3746F" w:rsidRDefault="00F3746F" w:rsidP="00F3746F">
            <w:pPr>
              <w:autoSpaceDE w:val="0"/>
              <w:autoSpaceDN w:val="0"/>
              <w:adjustRightInd w:val="0"/>
              <w:rPr>
                <w:rFonts w:cs="Arial"/>
                <w:color w:val="000000"/>
                <w:szCs w:val="24"/>
              </w:rPr>
            </w:pPr>
          </w:p>
        </w:tc>
      </w:tr>
    </w:tbl>
    <w:p w:rsidR="00F3746F" w:rsidRDefault="00F3746F" w:rsidP="00F3746F">
      <w:pPr>
        <w:autoSpaceDE w:val="0"/>
        <w:autoSpaceDN w:val="0"/>
        <w:adjustRightInd w:val="0"/>
        <w:spacing w:after="0" w:line="240" w:lineRule="auto"/>
        <w:rPr>
          <w:rFonts w:cs="Arial"/>
          <w:color w:val="000000"/>
          <w:szCs w:val="24"/>
        </w:rPr>
      </w:pPr>
    </w:p>
    <w:p w:rsidR="00CC44F5" w:rsidRDefault="00CC44F5" w:rsidP="00CC44F5"/>
    <w:sectPr w:rsidR="00CC44F5" w:rsidSect="00CC44F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02" w:rsidRDefault="00955202" w:rsidP="00BF516A">
      <w:pPr>
        <w:spacing w:after="0" w:line="240" w:lineRule="auto"/>
      </w:pPr>
      <w:r>
        <w:separator/>
      </w:r>
    </w:p>
  </w:endnote>
  <w:endnote w:type="continuationSeparator" w:id="0">
    <w:p w:rsidR="00955202" w:rsidRDefault="00955202" w:rsidP="00B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äori">
    <w:panose1 w:val="00000000000000000000"/>
    <w:charset w:val="00"/>
    <w:family w:val="auto"/>
    <w:notTrueType/>
    <w:pitch w:val="default"/>
    <w:sig w:usb0="00000003" w:usb1="00000000" w:usb2="00000000" w:usb3="00000000" w:csb0="00000001" w:csb1="00000000"/>
  </w:font>
  <w:font w:name="Arial-ItalicMT-Maori">
    <w:panose1 w:val="00000000000000000000"/>
    <w:charset w:val="00"/>
    <w:family w:val="auto"/>
    <w:notTrueType/>
    <w:pitch w:val="default"/>
    <w:sig w:usb0="00000003" w:usb1="00000000" w:usb2="00000000" w:usb3="00000000" w:csb0="00000001" w:csb1="00000000"/>
  </w:font>
  <w:font w:name="ArialMT-Maori">
    <w:panose1 w:val="00000000000000000000"/>
    <w:charset w:val="00"/>
    <w:family w:val="auto"/>
    <w:notTrueType/>
    <w:pitch w:val="default"/>
    <w:sig w:usb0="00000003" w:usb1="00000000" w:usb2="00000000" w:usb3="00000000" w:csb0="00000001" w:csb1="00000000"/>
  </w:font>
  <w:font w:name="ArialMäori,Italic">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34" w:rsidRDefault="005A3134">
    <w:pPr>
      <w:pStyle w:val="Footer"/>
      <w:jc w:val="right"/>
    </w:pPr>
  </w:p>
  <w:p w:rsidR="005A3134" w:rsidRDefault="005A3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00082"/>
      <w:docPartObj>
        <w:docPartGallery w:val="Page Numbers (Bottom of Page)"/>
        <w:docPartUnique/>
      </w:docPartObj>
    </w:sdtPr>
    <w:sdtEndPr>
      <w:rPr>
        <w:noProof/>
      </w:rPr>
    </w:sdtEndPr>
    <w:sdtContent>
      <w:p w:rsidR="005A3134" w:rsidRDefault="005A3134">
        <w:pPr>
          <w:pStyle w:val="Footer"/>
          <w:jc w:val="right"/>
        </w:pPr>
        <w:r>
          <w:fldChar w:fldCharType="begin"/>
        </w:r>
        <w:r>
          <w:instrText xml:space="preserve"> PAGE   \* MERGEFORMAT </w:instrText>
        </w:r>
        <w:r>
          <w:fldChar w:fldCharType="separate"/>
        </w:r>
        <w:r w:rsidR="00042E2A">
          <w:rPr>
            <w:noProof/>
          </w:rPr>
          <w:t>43</w:t>
        </w:r>
        <w:r>
          <w:rPr>
            <w:noProof/>
          </w:rPr>
          <w:fldChar w:fldCharType="end"/>
        </w:r>
      </w:p>
    </w:sdtContent>
  </w:sdt>
  <w:p w:rsidR="005A3134" w:rsidRDefault="005A31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52960"/>
      <w:docPartObj>
        <w:docPartGallery w:val="Page Numbers (Bottom of Page)"/>
        <w:docPartUnique/>
      </w:docPartObj>
    </w:sdtPr>
    <w:sdtEndPr>
      <w:rPr>
        <w:noProof/>
      </w:rPr>
    </w:sdtEndPr>
    <w:sdtContent>
      <w:p w:rsidR="005A3134" w:rsidRDefault="005A3134">
        <w:pPr>
          <w:pStyle w:val="Footer"/>
          <w:jc w:val="right"/>
        </w:pPr>
        <w:r>
          <w:fldChar w:fldCharType="begin"/>
        </w:r>
        <w:r>
          <w:instrText xml:space="preserve"> PAGE   \* MERGEFORMAT </w:instrText>
        </w:r>
        <w:r>
          <w:fldChar w:fldCharType="separate"/>
        </w:r>
        <w:r w:rsidR="00042E2A">
          <w:rPr>
            <w:noProof/>
          </w:rPr>
          <w:t>44</w:t>
        </w:r>
        <w:r>
          <w:rPr>
            <w:noProof/>
          </w:rPr>
          <w:fldChar w:fldCharType="end"/>
        </w:r>
      </w:p>
    </w:sdtContent>
  </w:sdt>
  <w:p w:rsidR="005A3134" w:rsidRDefault="005A3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02" w:rsidRDefault="00955202" w:rsidP="00BF516A">
      <w:pPr>
        <w:spacing w:after="0" w:line="240" w:lineRule="auto"/>
      </w:pPr>
      <w:r>
        <w:separator/>
      </w:r>
    </w:p>
  </w:footnote>
  <w:footnote w:type="continuationSeparator" w:id="0">
    <w:p w:rsidR="00955202" w:rsidRDefault="00955202" w:rsidP="00BF516A">
      <w:pPr>
        <w:spacing w:after="0" w:line="240" w:lineRule="auto"/>
      </w:pPr>
      <w:r>
        <w:continuationSeparator/>
      </w:r>
    </w:p>
  </w:footnote>
  <w:footnote w:id="1">
    <w:p w:rsidR="00BB2915" w:rsidRDefault="00BB2915" w:rsidP="00BB2915">
      <w:pPr>
        <w:pStyle w:val="FootnoteText"/>
        <w:numPr>
          <w:ilvl w:val="0"/>
          <w:numId w:val="0"/>
        </w:numPr>
        <w:ind w:left="284" w:hanging="284"/>
      </w:pPr>
      <w:r w:rsidRPr="00A75963">
        <w:rPr>
          <w:rStyle w:val="FootnoteReference"/>
          <w:szCs w:val="18"/>
        </w:rPr>
        <w:footnoteRef/>
      </w:r>
      <w:r w:rsidRPr="0037513D">
        <w:rPr>
          <w:szCs w:val="18"/>
        </w:rPr>
        <w:t xml:space="preserve"> Goals, objectives and desired outcomes </w:t>
      </w:r>
      <w:r>
        <w:rPr>
          <w:szCs w:val="18"/>
        </w:rPr>
        <w:t>(NEAC, 201</w:t>
      </w:r>
      <w:r w:rsidR="001659C0">
        <w:rPr>
          <w:szCs w:val="18"/>
        </w:rPr>
        <w:t>0</w:t>
      </w:r>
      <w:r w:rsidRPr="00A75963">
        <w:rPr>
          <w:szCs w:val="18"/>
        </w:rPr>
        <w:t>)</w:t>
      </w:r>
      <w:r>
        <w:t xml:space="preserve"> </w:t>
      </w:r>
      <w:r w:rsidRPr="00A75963">
        <w:t>http://neac.health.govt.nz/system/files/documents/publications/neac-godo-statement.pdf</w:t>
      </w:r>
    </w:p>
  </w:footnote>
  <w:footnote w:id="2">
    <w:p w:rsidR="005A3134" w:rsidRPr="008034F3" w:rsidRDefault="005A3134" w:rsidP="0030549C">
      <w:pPr>
        <w:spacing w:after="0" w:line="240" w:lineRule="auto"/>
        <w:rPr>
          <w:rFonts w:cs="Arial"/>
          <w:sz w:val="20"/>
          <w:szCs w:val="20"/>
        </w:rPr>
      </w:pPr>
      <w:r w:rsidRPr="008034F3">
        <w:rPr>
          <w:rStyle w:val="FootnoteReference"/>
          <w:sz w:val="20"/>
          <w:szCs w:val="20"/>
        </w:rPr>
        <w:footnoteRef/>
      </w:r>
      <w:r w:rsidRPr="008034F3">
        <w:rPr>
          <w:sz w:val="20"/>
          <w:szCs w:val="20"/>
        </w:rPr>
        <w:t xml:space="preserve"> </w:t>
      </w:r>
      <w:hyperlink r:id="rId1" w:history="1">
        <w:r w:rsidRPr="008034F3">
          <w:rPr>
            <w:rStyle w:val="Hyperlink"/>
            <w:rFonts w:cs="Arial"/>
            <w:sz w:val="20"/>
            <w:szCs w:val="20"/>
          </w:rPr>
          <w:t>http://www.hrc.govt.nz/ethics-and-regulatory/applying-ethical-approval</w:t>
        </w:r>
      </w:hyperlink>
      <w:r w:rsidRPr="008034F3">
        <w:rPr>
          <w:rFonts w:cs="Arial"/>
          <w:sz w:val="20"/>
          <w:szCs w:val="20"/>
        </w:rPr>
        <w:t xml:space="preserve">  </w:t>
      </w:r>
    </w:p>
    <w:p w:rsidR="005A3134" w:rsidRDefault="005A3134" w:rsidP="0030549C">
      <w:pPr>
        <w:pStyle w:val="FootnoteText"/>
        <w:numPr>
          <w:ilvl w:val="0"/>
          <w:numId w:val="0"/>
        </w:numPr>
      </w:pPr>
      <w:r>
        <w:t xml:space="preserve"> </w:t>
      </w:r>
    </w:p>
  </w:footnote>
  <w:footnote w:id="3">
    <w:p w:rsidR="005A3134" w:rsidRDefault="005A3134" w:rsidP="00CE08DE">
      <w:pPr>
        <w:pStyle w:val="FootnoteText"/>
        <w:numPr>
          <w:ilvl w:val="0"/>
          <w:numId w:val="0"/>
        </w:numPr>
        <w:ind w:left="284"/>
      </w:pPr>
      <w:r>
        <w:rPr>
          <w:rStyle w:val="FootnoteReference"/>
        </w:rPr>
        <w:footnoteRef/>
      </w:r>
      <w:r>
        <w:t xml:space="preserve"> The National Research </w:t>
      </w:r>
      <w:r w:rsidRPr="00EA4A72">
        <w:t xml:space="preserve">Authority aims to protect and promote the interests of patients and the public in research, and to streamline the regulation of research. </w:t>
      </w:r>
      <w:r w:rsidR="001E7BC7">
        <w:t>Its</w:t>
      </w:r>
      <w:r>
        <w:t xml:space="preserve"> website is </w:t>
      </w:r>
      <w:hyperlink r:id="rId2" w:history="1">
        <w:r w:rsidRPr="00695845">
          <w:rPr>
            <w:rStyle w:val="Hyperlink"/>
          </w:rPr>
          <w:t>http://www.hra.nhs.uk/research-community/</w:t>
        </w:r>
      </w:hyperlink>
      <w:r>
        <w:t xml:space="preserve"> </w:t>
      </w:r>
    </w:p>
  </w:footnote>
  <w:footnote w:id="4">
    <w:p w:rsidR="00571B34" w:rsidRDefault="00571B34" w:rsidP="001E7BC7">
      <w:pPr>
        <w:pStyle w:val="FootnoteText"/>
        <w:numPr>
          <w:ilvl w:val="0"/>
          <w:numId w:val="0"/>
        </w:numPr>
        <w:ind w:left="284" w:hanging="284"/>
      </w:pPr>
      <w:r>
        <w:rPr>
          <w:rStyle w:val="FootnoteReference"/>
        </w:rPr>
        <w:footnoteRef/>
      </w:r>
      <w:r>
        <w:t xml:space="preserve"> </w:t>
      </w:r>
      <w:r w:rsidR="001E7BC7">
        <w:t xml:space="preserve">   </w:t>
      </w:r>
      <w:proofErr w:type="gramStart"/>
      <w:r>
        <w:t>Health Research Council.</w:t>
      </w:r>
      <w:proofErr w:type="gramEnd"/>
      <w:r>
        <w:t xml:space="preserve"> 2010. </w:t>
      </w:r>
      <w:r w:rsidRPr="00C313D7">
        <w:rPr>
          <w:i/>
        </w:rPr>
        <w:t>Guidelines for Researchers on Health Research Involving Māori</w:t>
      </w:r>
      <w:r w:rsidR="00185393">
        <w:t xml:space="preserve">. URL: </w:t>
      </w:r>
      <w:hyperlink r:id="rId3" w:history="1">
        <w:r w:rsidR="00185393" w:rsidRPr="009B5D87">
          <w:rPr>
            <w:rStyle w:val="Hyperlink"/>
          </w:rPr>
          <w:t>http://www.hrc.govt.nz/sites/default/files/Guidelines%20for%20HR%20on%20Maori-%20Jul10%20revised%20for%20Te%20Ara%20Tika%20v2%20FINAL[1].pdf</w:t>
        </w:r>
      </w:hyperlink>
      <w:r w:rsidR="00185393">
        <w:t xml:space="preserve"> (accessed 22 September 2014)</w:t>
      </w:r>
    </w:p>
  </w:footnote>
  <w:footnote w:id="5">
    <w:p w:rsidR="00571B34" w:rsidRDefault="00571B34" w:rsidP="001E7BC7">
      <w:pPr>
        <w:pStyle w:val="FootnoteText"/>
        <w:numPr>
          <w:ilvl w:val="0"/>
          <w:numId w:val="0"/>
        </w:numPr>
        <w:ind w:left="284" w:hanging="284"/>
      </w:pPr>
      <w:r>
        <w:rPr>
          <w:rStyle w:val="FootnoteReference"/>
        </w:rPr>
        <w:footnoteRef/>
      </w:r>
      <w:r>
        <w:t xml:space="preserve"> </w:t>
      </w:r>
      <w:r w:rsidR="001E7BC7">
        <w:t xml:space="preserve">   </w:t>
      </w:r>
      <w:proofErr w:type="gramStart"/>
      <w:r>
        <w:t>Health Research Council.</w:t>
      </w:r>
      <w:proofErr w:type="gramEnd"/>
      <w:r>
        <w:t xml:space="preserve"> 2005. </w:t>
      </w:r>
      <w:r w:rsidRPr="00C313D7">
        <w:rPr>
          <w:i/>
        </w:rPr>
        <w:t>Guidelines on Ethics in Health Research</w:t>
      </w:r>
      <w:r>
        <w:t xml:space="preserve">. </w:t>
      </w:r>
      <w:r w:rsidR="00185393">
        <w:t xml:space="preserve">URL: </w:t>
      </w:r>
      <w:hyperlink r:id="rId4" w:history="1">
        <w:r w:rsidR="00185393" w:rsidRPr="009B5D87">
          <w:rPr>
            <w:rStyle w:val="Hyperlink"/>
          </w:rPr>
          <w:t>http://www.hrc.govt.nz/sites/default/files/Ethics%20Guidelines%20Oct%202005%20-%20under%20review_0.pdf</w:t>
        </w:r>
      </w:hyperlink>
      <w:r w:rsidR="00185393">
        <w:t xml:space="preserve"> (accessed 22 September 2014)</w:t>
      </w:r>
    </w:p>
  </w:footnote>
  <w:footnote w:id="6">
    <w:p w:rsidR="00BA69C5" w:rsidRDefault="00BA69C5" w:rsidP="00BA69C5">
      <w:pPr>
        <w:pStyle w:val="FootnoteText"/>
        <w:numPr>
          <w:ilvl w:val="0"/>
          <w:numId w:val="0"/>
        </w:numPr>
        <w:ind w:left="284" w:hanging="284"/>
      </w:pPr>
      <w:r>
        <w:rPr>
          <w:rStyle w:val="FootnoteReference"/>
        </w:rPr>
        <w:footnoteRef/>
      </w:r>
      <w:r>
        <w:t xml:space="preserve"> </w:t>
      </w:r>
      <w:proofErr w:type="gramStart"/>
      <w:r w:rsidRPr="00154BD1">
        <w:t>Hudson M, Milne M, Reynolds P,</w:t>
      </w:r>
      <w:r>
        <w:t xml:space="preserve"> Russell K, Smith B</w:t>
      </w:r>
      <w:r w:rsidRPr="00154BD1">
        <w:t>. 2010.</w:t>
      </w:r>
      <w:proofErr w:type="gramEnd"/>
      <w:r w:rsidRPr="00154BD1">
        <w:t xml:space="preserve"> </w:t>
      </w:r>
      <w:proofErr w:type="spellStart"/>
      <w:r w:rsidRPr="001C640F">
        <w:rPr>
          <w:bCs/>
          <w:i/>
        </w:rPr>
        <w:t>Te</w:t>
      </w:r>
      <w:proofErr w:type="spellEnd"/>
      <w:r w:rsidRPr="001C640F">
        <w:rPr>
          <w:bCs/>
          <w:i/>
        </w:rPr>
        <w:t xml:space="preserve"> </w:t>
      </w:r>
      <w:proofErr w:type="spellStart"/>
      <w:r w:rsidRPr="001C640F">
        <w:rPr>
          <w:bCs/>
          <w:i/>
        </w:rPr>
        <w:t>Ara</w:t>
      </w:r>
      <w:proofErr w:type="spellEnd"/>
      <w:r w:rsidRPr="001C640F">
        <w:rPr>
          <w:bCs/>
          <w:i/>
        </w:rPr>
        <w:t xml:space="preserve"> </w:t>
      </w:r>
      <w:proofErr w:type="spellStart"/>
      <w:r w:rsidRPr="001C640F">
        <w:rPr>
          <w:bCs/>
          <w:i/>
        </w:rPr>
        <w:t>Tika</w:t>
      </w:r>
      <w:proofErr w:type="spellEnd"/>
      <w:r w:rsidRPr="001C640F">
        <w:rPr>
          <w:bCs/>
          <w:i/>
        </w:rPr>
        <w:t>: Guidelines for Māori Research Ethics: A framework for researchers and ethics committee members.</w:t>
      </w:r>
      <w:r w:rsidRPr="00154BD1">
        <w:rPr>
          <w:bCs/>
        </w:rPr>
        <w:t xml:space="preserve"> </w:t>
      </w:r>
      <w:r>
        <w:rPr>
          <w:bCs/>
        </w:rPr>
        <w:t xml:space="preserve">Auckland: </w:t>
      </w:r>
      <w:r w:rsidRPr="00154BD1">
        <w:rPr>
          <w:bCs/>
        </w:rPr>
        <w:t>Health Research Council</w:t>
      </w:r>
      <w:r w:rsidRPr="007243F2">
        <w:t xml:space="preserve"> </w:t>
      </w:r>
      <w:r>
        <w:t>on behalf of the</w:t>
      </w:r>
      <w:r w:rsidRPr="00554C8D">
        <w:rPr>
          <w:lang w:eastAsia="en-NZ"/>
        </w:rPr>
        <w:t xml:space="preserve"> </w:t>
      </w:r>
      <w:proofErr w:type="spellStart"/>
      <w:r>
        <w:rPr>
          <w:lang w:eastAsia="en-NZ"/>
        </w:rPr>
        <w:t>Pūtaiora</w:t>
      </w:r>
      <w:proofErr w:type="spellEnd"/>
      <w:r>
        <w:rPr>
          <w:lang w:eastAsia="en-NZ"/>
        </w:rPr>
        <w:t xml:space="preserve"> Writing Group</w:t>
      </w:r>
      <w:r w:rsidRPr="00154BD1">
        <w:rPr>
          <w:bCs/>
        </w:rPr>
        <w:t>.</w:t>
      </w:r>
      <w:r>
        <w:t xml:space="preserve"> </w:t>
      </w:r>
    </w:p>
  </w:footnote>
  <w:footnote w:id="7">
    <w:p w:rsidR="000814A8" w:rsidRDefault="000814A8" w:rsidP="000814A8">
      <w:pPr>
        <w:pStyle w:val="FootnoteText"/>
        <w:numPr>
          <w:ilvl w:val="0"/>
          <w:numId w:val="0"/>
        </w:numPr>
        <w:ind w:left="284" w:hanging="284"/>
      </w:pPr>
      <w:r>
        <w:rPr>
          <w:rStyle w:val="FootnoteReference"/>
        </w:rPr>
        <w:footnoteRef/>
      </w:r>
      <w:r>
        <w:t xml:space="preserve"> </w:t>
      </w:r>
      <w:proofErr w:type="gramStart"/>
      <w:r>
        <w:t>Refers to g</w:t>
      </w:r>
      <w:r w:rsidRPr="00154BD1">
        <w:t>ene</w:t>
      </w:r>
      <w:r>
        <w:t xml:space="preserve">alogy, lineage and </w:t>
      </w:r>
      <w:r w:rsidRPr="00154BD1">
        <w:t>descent</w:t>
      </w:r>
      <w:r>
        <w:t>.</w:t>
      </w:r>
      <w:proofErr w:type="gramEnd"/>
      <w:r>
        <w:t xml:space="preserve">  </w:t>
      </w:r>
    </w:p>
  </w:footnote>
  <w:footnote w:id="8">
    <w:p w:rsidR="00BA69C5" w:rsidRDefault="00BA69C5" w:rsidP="00BA69C5">
      <w:pPr>
        <w:pStyle w:val="FootnoteText"/>
        <w:numPr>
          <w:ilvl w:val="0"/>
          <w:numId w:val="0"/>
        </w:numPr>
        <w:ind w:left="284" w:hanging="284"/>
      </w:pPr>
      <w:r>
        <w:rPr>
          <w:rStyle w:val="FootnoteReference"/>
        </w:rPr>
        <w:footnoteRef/>
      </w:r>
      <w:r w:rsidR="000814A8">
        <w:t xml:space="preserve"> See footnote 6. </w:t>
      </w:r>
    </w:p>
  </w:footnote>
  <w:footnote w:id="9">
    <w:p w:rsidR="000814A8" w:rsidRDefault="000814A8" w:rsidP="000814A8">
      <w:pPr>
        <w:pStyle w:val="FootnoteText"/>
        <w:numPr>
          <w:ilvl w:val="0"/>
          <w:numId w:val="0"/>
        </w:numPr>
        <w:ind w:left="284" w:hanging="284"/>
      </w:pPr>
      <w:r>
        <w:rPr>
          <w:rStyle w:val="FootnoteReference"/>
        </w:rPr>
        <w:footnoteRef/>
      </w:r>
      <w:r>
        <w:t xml:space="preserve"> </w:t>
      </w:r>
      <w:proofErr w:type="gramStart"/>
      <w:r>
        <w:t>Refers to M</w:t>
      </w:r>
      <w:r>
        <w:rPr>
          <w:rFonts w:cs="Arial"/>
        </w:rPr>
        <w:t>ā</w:t>
      </w:r>
      <w:r>
        <w:t>ori customs or protocols.</w:t>
      </w:r>
      <w:proofErr w:type="gramEnd"/>
      <w:r>
        <w:t xml:space="preserve">  </w:t>
      </w:r>
    </w:p>
  </w:footnote>
  <w:footnote w:id="10">
    <w:p w:rsidR="00571B34" w:rsidRDefault="00571B34" w:rsidP="001E7BC7">
      <w:pPr>
        <w:pStyle w:val="FootnoteText"/>
        <w:numPr>
          <w:ilvl w:val="0"/>
          <w:numId w:val="0"/>
        </w:numPr>
        <w:ind w:left="284" w:hanging="284"/>
      </w:pPr>
      <w:r>
        <w:rPr>
          <w:rStyle w:val="FootnoteReference"/>
        </w:rPr>
        <w:footnoteRef/>
      </w:r>
      <w:r>
        <w:t xml:space="preserve"> Smith </w:t>
      </w:r>
      <w:r w:rsidR="00BA69C5">
        <w:t xml:space="preserve">B. 2014. Māori-centred codes of ethics: championing inclusiveness in creating professional codes of ethics across the New Zealand health sector. </w:t>
      </w:r>
      <w:r w:rsidR="00BA69C5" w:rsidRPr="00BA69C5">
        <w:rPr>
          <w:i/>
        </w:rPr>
        <w:t>The New Zealand Medical Journal</w:t>
      </w:r>
      <w:r w:rsidR="00BA69C5">
        <w:t xml:space="preserve"> 127(1397): 9-12.URL: http://journal.nzma.org.nz/journal/127-1397/6192/</w:t>
      </w:r>
    </w:p>
  </w:footnote>
  <w:footnote w:id="11">
    <w:p w:rsidR="00571B34" w:rsidRDefault="00571B34" w:rsidP="001E7BC7">
      <w:pPr>
        <w:pStyle w:val="FootnoteText"/>
        <w:numPr>
          <w:ilvl w:val="0"/>
          <w:numId w:val="0"/>
        </w:numPr>
        <w:ind w:left="284" w:hanging="284"/>
      </w:pPr>
      <w:r>
        <w:rPr>
          <w:rStyle w:val="FootnoteReference"/>
        </w:rPr>
        <w:footnoteRef/>
      </w:r>
      <w:r>
        <w:t xml:space="preserve"> Māori re</w:t>
      </w:r>
      <w:r w:rsidR="00AB5B53">
        <w:t xml:space="preserve">view advice on HDEC website </w:t>
      </w:r>
      <w:hyperlink r:id="rId5" w:history="1">
        <w:r w:rsidR="00BA69C5" w:rsidRPr="00160F94">
          <w:rPr>
            <w:rStyle w:val="Hyperlink"/>
          </w:rPr>
          <w:t>http://ethics.health.govt.nz/</w:t>
        </w:r>
      </w:hyperlink>
      <w:r w:rsidR="00BA69C5">
        <w:t xml:space="preserve"> (accessed 22 September 2014)</w:t>
      </w:r>
      <w:r>
        <w:t>.</w:t>
      </w:r>
    </w:p>
  </w:footnote>
  <w:footnote w:id="12">
    <w:p w:rsidR="005A3134" w:rsidRDefault="005A3134" w:rsidP="00B42774">
      <w:pPr>
        <w:pStyle w:val="FootnoteText"/>
        <w:numPr>
          <w:ilvl w:val="0"/>
          <w:numId w:val="0"/>
        </w:numPr>
      </w:pPr>
      <w:r>
        <w:rPr>
          <w:rStyle w:val="FootnoteReference"/>
        </w:rPr>
        <w:footnoteRef/>
      </w:r>
      <w:r>
        <w:t xml:space="preserve"> </w:t>
      </w:r>
      <w:r w:rsidRPr="006F6AA3">
        <w:t>http://www.nhmrc.gov.au/health-ethics/human-research-ethics-committees-hrecs/hrec-annual-reporting-nhmrc</w:t>
      </w:r>
    </w:p>
  </w:footnote>
  <w:footnote w:id="13">
    <w:p w:rsidR="005A3134" w:rsidRDefault="005A3134" w:rsidP="00420E59">
      <w:pPr>
        <w:pStyle w:val="FootnoteText"/>
        <w:numPr>
          <w:ilvl w:val="0"/>
          <w:numId w:val="0"/>
        </w:numPr>
        <w:ind w:left="284" w:hanging="284"/>
      </w:pPr>
      <w:r>
        <w:rPr>
          <w:rStyle w:val="FootnoteReference"/>
        </w:rPr>
        <w:footnoteRef/>
      </w:r>
      <w:r>
        <w:t xml:space="preserve"> T</w:t>
      </w:r>
      <w:r w:rsidRPr="00D42AA9">
        <w:rPr>
          <w:rFonts w:cs="Arial"/>
        </w:rPr>
        <w:t>he Standing Committee on Therapeutic Trials charges $6,500 per review</w:t>
      </w:r>
      <w:r>
        <w:rPr>
          <w:rFonts w:cs="Arial"/>
        </w:rPr>
        <w:t>.</w:t>
      </w:r>
    </w:p>
  </w:footnote>
  <w:footnote w:id="14">
    <w:p w:rsidR="005A3134" w:rsidRDefault="005A3134" w:rsidP="00F22DCE">
      <w:pPr>
        <w:pStyle w:val="FootnoteText"/>
        <w:numPr>
          <w:ilvl w:val="0"/>
          <w:numId w:val="0"/>
        </w:numPr>
      </w:pPr>
      <w:r>
        <w:rPr>
          <w:rStyle w:val="FootnoteReference"/>
        </w:rPr>
        <w:footnoteRef/>
      </w:r>
      <w:r>
        <w:t xml:space="preserve"> Scientific validity, in a broad sense, is the validity of the research within the terms of the particular research paradigm. Peer review to determine scientific validity should consider the relative merit of the research, quality of study design and methods, and the feasibility of the research. </w:t>
      </w:r>
    </w:p>
  </w:footnote>
  <w:footnote w:id="15">
    <w:p w:rsidR="005A3134" w:rsidRPr="002031BD" w:rsidRDefault="005A3134" w:rsidP="002031BD">
      <w:pPr>
        <w:pStyle w:val="FootnoteText"/>
        <w:numPr>
          <w:ilvl w:val="0"/>
          <w:numId w:val="0"/>
        </w:numPr>
        <w:ind w:left="284"/>
        <w:rPr>
          <w:sz w:val="20"/>
        </w:rPr>
      </w:pPr>
      <w:r w:rsidRPr="002031BD">
        <w:rPr>
          <w:rStyle w:val="FootnoteReference"/>
          <w:sz w:val="20"/>
        </w:rPr>
        <w:footnoteRef/>
      </w:r>
      <w:r w:rsidRPr="002031BD">
        <w:rPr>
          <w:sz w:val="20"/>
        </w:rPr>
        <w:t xml:space="preserve"> </w:t>
      </w:r>
      <w:r>
        <w:rPr>
          <w:sz w:val="20"/>
        </w:rPr>
        <w:t>S</w:t>
      </w:r>
      <w:r w:rsidRPr="002031BD">
        <w:rPr>
          <w:sz w:val="20"/>
        </w:rPr>
        <w:t>ection 20(f) of the Human Tissue Act 2008 and Right 7(10)(c) of the Code of Health and Disability Services Consumers’ Rights 1996</w:t>
      </w:r>
    </w:p>
  </w:footnote>
  <w:footnote w:id="16">
    <w:p w:rsidR="005A3134" w:rsidRPr="00EB572F" w:rsidRDefault="005A3134" w:rsidP="009466C0">
      <w:pPr>
        <w:autoSpaceDE w:val="0"/>
        <w:autoSpaceDN w:val="0"/>
        <w:adjustRightInd w:val="0"/>
        <w:spacing w:after="0" w:line="240" w:lineRule="auto"/>
        <w:rPr>
          <w:rFonts w:ascii="Arial-ItalicMT-Maori" w:hAnsi="Arial-ItalicMT-Maori" w:cs="Arial-ItalicMT-Maori"/>
          <w:i/>
          <w:iCs/>
          <w:sz w:val="18"/>
          <w:szCs w:val="18"/>
        </w:rPr>
      </w:pPr>
      <w:r>
        <w:rPr>
          <w:rStyle w:val="FootnoteReference"/>
        </w:rPr>
        <w:footnoteRef/>
      </w:r>
      <w:r>
        <w:t xml:space="preserve"> </w:t>
      </w:r>
      <w:proofErr w:type="gramStart"/>
      <w:r w:rsidRPr="00EB572F">
        <w:rPr>
          <w:rFonts w:ascii="ArialMT-Maori" w:hAnsi="ArialMT-Maori" w:cs="ArialMT-Maori"/>
          <w:sz w:val="18"/>
          <w:szCs w:val="18"/>
        </w:rPr>
        <w:t>National Health and Medical Research Council (NHMRC).</w:t>
      </w:r>
      <w:proofErr w:type="gramEnd"/>
      <w:r w:rsidRPr="00EB572F">
        <w:rPr>
          <w:rFonts w:ascii="ArialMT-Maori" w:hAnsi="ArialMT-Maori" w:cs="ArialMT-Maori"/>
          <w:sz w:val="18"/>
          <w:szCs w:val="18"/>
        </w:rPr>
        <w:t xml:space="preserve"> 2003. </w:t>
      </w:r>
      <w:r w:rsidRPr="00EB572F">
        <w:rPr>
          <w:rFonts w:ascii="Arial-ItalicMT-Maori" w:hAnsi="Arial-ItalicMT-Maori" w:cs="Arial-ItalicMT-Maori"/>
          <w:i/>
          <w:iCs/>
          <w:sz w:val="18"/>
          <w:szCs w:val="18"/>
        </w:rPr>
        <w:t>When Does Quality Assurance in</w:t>
      </w:r>
    </w:p>
    <w:p w:rsidR="005A3134" w:rsidRPr="00EB572F" w:rsidRDefault="005A3134" w:rsidP="009466C0">
      <w:pPr>
        <w:autoSpaceDE w:val="0"/>
        <w:autoSpaceDN w:val="0"/>
        <w:adjustRightInd w:val="0"/>
        <w:spacing w:after="0" w:line="240" w:lineRule="auto"/>
        <w:rPr>
          <w:rFonts w:ascii="ArialMT-Maori" w:hAnsi="ArialMT-Maori" w:cs="ArialMT-Maori"/>
          <w:sz w:val="18"/>
          <w:szCs w:val="18"/>
        </w:rPr>
      </w:pPr>
      <w:r w:rsidRPr="00EB572F">
        <w:rPr>
          <w:rFonts w:ascii="Arial-ItalicMT-Maori" w:hAnsi="Arial-ItalicMT-Maori" w:cs="Arial-ItalicMT-Maori"/>
          <w:i/>
          <w:iCs/>
          <w:sz w:val="18"/>
          <w:szCs w:val="18"/>
        </w:rPr>
        <w:t xml:space="preserve">Health Care Require Independent Ethical Review? </w:t>
      </w:r>
      <w:r w:rsidRPr="00EB572F">
        <w:rPr>
          <w:rFonts w:ascii="ArialMT-Maori" w:hAnsi="ArialMT-Maori" w:cs="ArialMT-Maori"/>
          <w:sz w:val="18"/>
          <w:szCs w:val="18"/>
        </w:rPr>
        <w:t xml:space="preserve">Canberra: National Health and Medical Research </w:t>
      </w:r>
      <w:hyperlink r:id="rId6" w:history="1">
        <w:r w:rsidRPr="00EB572F">
          <w:rPr>
            <w:rStyle w:val="Hyperlink"/>
            <w:rFonts w:cs="Arial"/>
            <w:sz w:val="18"/>
            <w:szCs w:val="18"/>
          </w:rPr>
          <w:t>http://www.nhmrc.gov.au/_files_nhmrc/publications/attachments/e46.pdf</w:t>
        </w:r>
      </w:hyperlink>
    </w:p>
    <w:p w:rsidR="005A3134" w:rsidRDefault="005A3134" w:rsidP="009466C0">
      <w:pPr>
        <w:autoSpaceDE w:val="0"/>
        <w:autoSpaceDN w:val="0"/>
        <w:adjustRightInd w:val="0"/>
        <w:spacing w:after="0" w:line="240" w:lineRule="auto"/>
        <w:rPr>
          <w:rFonts w:ascii="ArialMT-Maori" w:hAnsi="ArialMT-Maori" w:cs="ArialMT-Maori"/>
          <w:sz w:val="19"/>
          <w:szCs w:val="19"/>
        </w:rPr>
      </w:pPr>
    </w:p>
    <w:p w:rsidR="005A3134" w:rsidRDefault="005A3134" w:rsidP="009466C0">
      <w:pPr>
        <w:pStyle w:val="FootnoteText"/>
        <w:numPr>
          <w:ilvl w:val="0"/>
          <w:numId w:val="0"/>
        </w:numPr>
      </w:pPr>
    </w:p>
  </w:footnote>
  <w:footnote w:id="17">
    <w:p w:rsidR="005A3134" w:rsidRDefault="005A3134" w:rsidP="009466C0">
      <w:pPr>
        <w:pStyle w:val="FootnoteText"/>
        <w:numPr>
          <w:ilvl w:val="0"/>
          <w:numId w:val="0"/>
        </w:numPr>
        <w:ind w:left="284" w:hanging="284"/>
      </w:pPr>
      <w:r>
        <w:rPr>
          <w:rStyle w:val="FootnoteReference"/>
        </w:rPr>
        <w:footnoteRef/>
      </w:r>
      <w:r>
        <w:t xml:space="preserve"> </w:t>
      </w:r>
      <w:proofErr w:type="spellStart"/>
      <w:r>
        <w:t>Ogrinc</w:t>
      </w:r>
      <w:proofErr w:type="spellEnd"/>
      <w:r>
        <w:t xml:space="preserve">, Nelson, Adams, O’Hara, “An instrument to differentiate between clinical research and quality improvements, IRB: Ethics &amp; Human Research, 35 (5), pp 1-8. </w:t>
      </w:r>
    </w:p>
  </w:footnote>
  <w:footnote w:id="18">
    <w:p w:rsidR="005A3134" w:rsidRDefault="005A3134" w:rsidP="002031BD">
      <w:pPr>
        <w:pStyle w:val="FootnoteText"/>
        <w:numPr>
          <w:ilvl w:val="0"/>
          <w:numId w:val="0"/>
        </w:numPr>
        <w:ind w:left="284"/>
      </w:pPr>
      <w:r>
        <w:rPr>
          <w:rStyle w:val="FootnoteReference"/>
        </w:rPr>
        <w:footnoteRef/>
      </w:r>
      <w:r>
        <w:t xml:space="preserve"> </w:t>
      </w:r>
      <w:proofErr w:type="gramStart"/>
      <w:r>
        <w:t>Case 11HDC01072.</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7DEF85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21218FB"/>
    <w:multiLevelType w:val="hybridMultilevel"/>
    <w:tmpl w:val="0C92A2D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B80221"/>
    <w:multiLevelType w:val="hybridMultilevel"/>
    <w:tmpl w:val="DAAA36A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421468"/>
    <w:multiLevelType w:val="hybridMultilevel"/>
    <w:tmpl w:val="0BCE4D7E"/>
    <w:lvl w:ilvl="0" w:tplc="08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6B27D2"/>
    <w:multiLevelType w:val="hybridMultilevel"/>
    <w:tmpl w:val="D144AC22"/>
    <w:lvl w:ilvl="0" w:tplc="7C8C65A6">
      <w:start w:val="1"/>
      <w:numFmt w:val="decimal"/>
      <w:pStyle w:val="FootnoteText"/>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9761750"/>
    <w:multiLevelType w:val="hybridMultilevel"/>
    <w:tmpl w:val="38BE2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AEC31CE"/>
    <w:multiLevelType w:val="hybridMultilevel"/>
    <w:tmpl w:val="B8C4C2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0DEB25D8"/>
    <w:multiLevelType w:val="hybridMultilevel"/>
    <w:tmpl w:val="34248FC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0FBC52F0"/>
    <w:multiLevelType w:val="multilevel"/>
    <w:tmpl w:val="B2C6C89C"/>
    <w:lvl w:ilvl="0">
      <w:start w:val="1"/>
      <w:numFmt w:val="bullet"/>
      <w:lvlText w:val=""/>
      <w:lvlJc w:val="left"/>
      <w:pPr>
        <w:tabs>
          <w:tab w:val="num" w:pos="-54"/>
        </w:tabs>
        <w:ind w:left="-54" w:firstLine="0"/>
      </w:pPr>
      <w:rPr>
        <w:rFonts w:ascii="Symbol" w:hAnsi="Symbol" w:hint="default"/>
        <w:b w:val="0"/>
        <w:i w:val="0"/>
        <w:position w:val="0"/>
      </w:rPr>
    </w:lvl>
    <w:lvl w:ilvl="1">
      <w:start w:val="1"/>
      <w:numFmt w:val="bullet"/>
      <w:lvlText w:val=""/>
      <w:lvlJc w:val="left"/>
      <w:pPr>
        <w:tabs>
          <w:tab w:val="num" w:pos="-592"/>
        </w:tabs>
        <w:ind w:left="-592" w:firstLine="360"/>
      </w:pPr>
      <w:rPr>
        <w:rFonts w:ascii="Symbol" w:hAnsi="Symbol" w:hint="default"/>
        <w:position w:val="0"/>
      </w:rPr>
    </w:lvl>
    <w:lvl w:ilvl="2">
      <w:start w:val="1"/>
      <w:numFmt w:val="bullet"/>
      <w:lvlText w:val=""/>
      <w:lvlJc w:val="left"/>
      <w:pPr>
        <w:tabs>
          <w:tab w:val="num" w:pos="-592"/>
        </w:tabs>
        <w:ind w:left="-592" w:firstLine="720"/>
      </w:pPr>
      <w:rPr>
        <w:rFonts w:ascii="Symbol" w:hAnsi="Symbol" w:hint="default"/>
        <w:position w:val="0"/>
      </w:rPr>
    </w:lvl>
    <w:lvl w:ilvl="3">
      <w:start w:val="1"/>
      <w:numFmt w:val="decimal"/>
      <w:isLgl/>
      <w:lvlText w:val="%4."/>
      <w:lvlJc w:val="left"/>
      <w:pPr>
        <w:tabs>
          <w:tab w:val="num" w:pos="-592"/>
        </w:tabs>
        <w:ind w:left="-592" w:firstLine="1080"/>
      </w:pPr>
      <w:rPr>
        <w:position w:val="0"/>
      </w:rPr>
    </w:lvl>
    <w:lvl w:ilvl="4">
      <w:start w:val="1"/>
      <w:numFmt w:val="lowerLetter"/>
      <w:lvlText w:val="%5."/>
      <w:lvlJc w:val="left"/>
      <w:pPr>
        <w:tabs>
          <w:tab w:val="num" w:pos="-592"/>
        </w:tabs>
        <w:ind w:left="-592" w:firstLine="1440"/>
      </w:pPr>
      <w:rPr>
        <w:position w:val="0"/>
      </w:rPr>
    </w:lvl>
    <w:lvl w:ilvl="5">
      <w:start w:val="1"/>
      <w:numFmt w:val="lowerRoman"/>
      <w:lvlText w:val="%6."/>
      <w:lvlJc w:val="left"/>
      <w:pPr>
        <w:tabs>
          <w:tab w:val="num" w:pos="-592"/>
        </w:tabs>
        <w:ind w:left="-592" w:firstLine="1800"/>
      </w:pPr>
      <w:rPr>
        <w:position w:val="0"/>
      </w:rPr>
    </w:lvl>
    <w:lvl w:ilvl="6">
      <w:start w:val="1"/>
      <w:numFmt w:val="decimal"/>
      <w:isLgl/>
      <w:lvlText w:val="%7."/>
      <w:lvlJc w:val="left"/>
      <w:pPr>
        <w:tabs>
          <w:tab w:val="num" w:pos="-592"/>
        </w:tabs>
        <w:ind w:left="-592" w:firstLine="2160"/>
      </w:pPr>
      <w:rPr>
        <w:position w:val="0"/>
      </w:rPr>
    </w:lvl>
    <w:lvl w:ilvl="7">
      <w:start w:val="1"/>
      <w:numFmt w:val="lowerLetter"/>
      <w:lvlText w:val="%8."/>
      <w:lvlJc w:val="left"/>
      <w:pPr>
        <w:tabs>
          <w:tab w:val="num" w:pos="-592"/>
        </w:tabs>
        <w:ind w:left="-592" w:firstLine="2520"/>
      </w:pPr>
      <w:rPr>
        <w:position w:val="0"/>
      </w:rPr>
    </w:lvl>
    <w:lvl w:ilvl="8">
      <w:start w:val="1"/>
      <w:numFmt w:val="lowerRoman"/>
      <w:lvlText w:val="%9."/>
      <w:lvlJc w:val="left"/>
      <w:pPr>
        <w:tabs>
          <w:tab w:val="num" w:pos="-592"/>
        </w:tabs>
        <w:ind w:left="-592" w:firstLine="2880"/>
      </w:pPr>
      <w:rPr>
        <w:position w:val="0"/>
      </w:rPr>
    </w:lvl>
  </w:abstractNum>
  <w:abstractNum w:abstractNumId="9">
    <w:nsid w:val="19EB016A"/>
    <w:multiLevelType w:val="hybridMultilevel"/>
    <w:tmpl w:val="09D6C786"/>
    <w:lvl w:ilvl="0" w:tplc="DFDA6F04">
      <w:start w:val="1"/>
      <w:numFmt w:val="low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C010A4B"/>
    <w:multiLevelType w:val="hybridMultilevel"/>
    <w:tmpl w:val="20DCF1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1D5D2968"/>
    <w:multiLevelType w:val="hybridMultilevel"/>
    <w:tmpl w:val="8D325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E4F7A92"/>
    <w:multiLevelType w:val="hybridMultilevel"/>
    <w:tmpl w:val="298C3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24E46C7"/>
    <w:multiLevelType w:val="hybridMultilevel"/>
    <w:tmpl w:val="C2B2C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3117FE9"/>
    <w:multiLevelType w:val="hybridMultilevel"/>
    <w:tmpl w:val="B27CB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3827B54"/>
    <w:multiLevelType w:val="hybridMultilevel"/>
    <w:tmpl w:val="149AD8F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75A518B"/>
    <w:multiLevelType w:val="hybridMultilevel"/>
    <w:tmpl w:val="8ACEA0EA"/>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7F64520"/>
    <w:multiLevelType w:val="hybridMultilevel"/>
    <w:tmpl w:val="5DFAA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AA532D3"/>
    <w:multiLevelType w:val="hybridMultilevel"/>
    <w:tmpl w:val="0FCECC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2BEB0994"/>
    <w:multiLevelType w:val="hybridMultilevel"/>
    <w:tmpl w:val="3C645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C334C5C"/>
    <w:multiLevelType w:val="hybridMultilevel"/>
    <w:tmpl w:val="5022B158"/>
    <w:lvl w:ilvl="0" w:tplc="A7249388">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45C5BFB"/>
    <w:multiLevelType w:val="multilevel"/>
    <w:tmpl w:val="0409001F"/>
    <w:styleLink w:val="111111"/>
    <w:lvl w:ilvl="0">
      <w:start w:val="1"/>
      <w:numFmt w:val="decimal"/>
      <w:pStyle w:val="StyleNumbere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340"/>
        </w:tabs>
        <w:ind w:left="140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nsid w:val="3708761B"/>
    <w:multiLevelType w:val="hybridMultilevel"/>
    <w:tmpl w:val="5838CF48"/>
    <w:lvl w:ilvl="0" w:tplc="A7249388">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DA3659E"/>
    <w:multiLevelType w:val="hybridMultilevel"/>
    <w:tmpl w:val="7390F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61D1C65"/>
    <w:multiLevelType w:val="multilevel"/>
    <w:tmpl w:val="0409001F"/>
    <w:numStyleLink w:val="111111"/>
  </w:abstractNum>
  <w:abstractNum w:abstractNumId="25">
    <w:nsid w:val="480B04D3"/>
    <w:multiLevelType w:val="hybridMultilevel"/>
    <w:tmpl w:val="003A33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48BC0F93"/>
    <w:multiLevelType w:val="hybridMultilevel"/>
    <w:tmpl w:val="4CE667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49161872"/>
    <w:multiLevelType w:val="hybridMultilevel"/>
    <w:tmpl w:val="6C903B06"/>
    <w:lvl w:ilvl="0" w:tplc="D1BEFC2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8">
    <w:nsid w:val="4A8B076C"/>
    <w:multiLevelType w:val="hybridMultilevel"/>
    <w:tmpl w:val="C352D3D4"/>
    <w:lvl w:ilvl="0" w:tplc="A7249388">
      <w:start w:val="1"/>
      <w:numFmt w:val="bullet"/>
      <w:lvlText w:val=""/>
      <w:lvlJc w:val="left"/>
      <w:pPr>
        <w:ind w:left="360" w:hanging="360"/>
      </w:pPr>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D661422"/>
    <w:multiLevelType w:val="hybridMultilevel"/>
    <w:tmpl w:val="8B248D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3133ADE"/>
    <w:multiLevelType w:val="hybridMultilevel"/>
    <w:tmpl w:val="6FAA4D1A"/>
    <w:lvl w:ilvl="0" w:tplc="31586944">
      <w:start w:val="1"/>
      <w:numFmt w:val="lowerLetter"/>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84D5CE9"/>
    <w:multiLevelType w:val="hybridMultilevel"/>
    <w:tmpl w:val="27868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9F0130C"/>
    <w:multiLevelType w:val="hybridMultilevel"/>
    <w:tmpl w:val="F23461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60F30F7F"/>
    <w:multiLevelType w:val="multilevel"/>
    <w:tmpl w:val="A98E26C6"/>
    <w:lvl w:ilvl="0">
      <w:start w:val="1"/>
      <w:numFmt w:val="decimal"/>
      <w:pStyle w:val="Gov1"/>
      <w:lvlText w:val="%1."/>
      <w:lvlJc w:val="left"/>
      <w:pPr>
        <w:tabs>
          <w:tab w:val="num" w:pos="567"/>
        </w:tabs>
        <w:ind w:left="567" w:hanging="567"/>
      </w:pPr>
      <w:rPr>
        <w:rFonts w:hint="default"/>
        <w:b/>
      </w:rPr>
    </w:lvl>
    <w:lvl w:ilvl="1">
      <w:start w:val="1"/>
      <w:numFmt w:val="decimal"/>
      <w:lvlRestart w:val="0"/>
      <w:pStyle w:val="Gov2"/>
      <w:lvlText w:val="%1.%2."/>
      <w:lvlJc w:val="left"/>
      <w:pPr>
        <w:tabs>
          <w:tab w:val="num" w:pos="794"/>
        </w:tabs>
        <w:ind w:left="794" w:hanging="794"/>
      </w:pPr>
      <w:rPr>
        <w:rFonts w:hint="default"/>
        <w:color w:val="auto"/>
      </w:rPr>
    </w:lvl>
    <w:lvl w:ilvl="2">
      <w:start w:val="1"/>
      <w:numFmt w:val="decimal"/>
      <w:pStyle w:val="Gov3"/>
      <w:lvlText w:val="%1.%2.%3."/>
      <w:lvlJc w:val="left"/>
      <w:pPr>
        <w:tabs>
          <w:tab w:val="num" w:pos="9158"/>
        </w:tabs>
        <w:ind w:left="9158"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1250FA6"/>
    <w:multiLevelType w:val="hybridMultilevel"/>
    <w:tmpl w:val="C8EECA3A"/>
    <w:lvl w:ilvl="0" w:tplc="A7249388">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64CB0BD2"/>
    <w:multiLevelType w:val="hybridMultilevel"/>
    <w:tmpl w:val="BE80E0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6A8958F4"/>
    <w:multiLevelType w:val="hybridMultilevel"/>
    <w:tmpl w:val="EA8A58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6B752BF5"/>
    <w:multiLevelType w:val="hybridMultilevel"/>
    <w:tmpl w:val="317AA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C787907"/>
    <w:multiLevelType w:val="multilevel"/>
    <w:tmpl w:val="19C86006"/>
    <w:lvl w:ilvl="0">
      <w:start w:val="1"/>
      <w:numFmt w:val="decimal"/>
      <w:lvlText w:val="%1."/>
      <w:lvlJc w:val="left"/>
      <w:pPr>
        <w:ind w:left="360" w:hanging="360"/>
      </w:pPr>
      <w:rPr>
        <w:rFonts w:hint="default"/>
      </w:rPr>
    </w:lvl>
    <w:lvl w:ilvl="1">
      <w:start w:val="3"/>
      <w:numFmt w:val="decimal"/>
      <w:isLgl/>
      <w:lvlText w:val="%1.%2"/>
      <w:lvlJc w:val="left"/>
      <w:pPr>
        <w:ind w:left="495" w:hanging="495"/>
      </w:pPr>
      <w:rPr>
        <w:rFonts w:hint="default"/>
        <w:b/>
        <w:sz w:val="22"/>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1080" w:hanging="1080"/>
      </w:pPr>
      <w:rPr>
        <w:rFonts w:hint="default"/>
        <w:b/>
        <w:sz w:val="22"/>
      </w:rPr>
    </w:lvl>
    <w:lvl w:ilvl="4">
      <w:start w:val="1"/>
      <w:numFmt w:val="decimal"/>
      <w:isLgl/>
      <w:lvlText w:val="%1.%2.%3.%4.%5"/>
      <w:lvlJc w:val="left"/>
      <w:pPr>
        <w:ind w:left="1080" w:hanging="1080"/>
      </w:pPr>
      <w:rPr>
        <w:rFonts w:hint="default"/>
        <w:b/>
        <w:sz w:val="22"/>
      </w:rPr>
    </w:lvl>
    <w:lvl w:ilvl="5">
      <w:start w:val="1"/>
      <w:numFmt w:val="decimal"/>
      <w:isLgl/>
      <w:lvlText w:val="%1.%2.%3.%4.%5.%6"/>
      <w:lvlJc w:val="left"/>
      <w:pPr>
        <w:ind w:left="1440" w:hanging="1440"/>
      </w:pPr>
      <w:rPr>
        <w:rFonts w:hint="default"/>
        <w:b/>
        <w:sz w:val="22"/>
      </w:rPr>
    </w:lvl>
    <w:lvl w:ilvl="6">
      <w:start w:val="1"/>
      <w:numFmt w:val="decimal"/>
      <w:isLgl/>
      <w:lvlText w:val="%1.%2.%3.%4.%5.%6.%7"/>
      <w:lvlJc w:val="left"/>
      <w:pPr>
        <w:ind w:left="1440" w:hanging="1440"/>
      </w:pPr>
      <w:rPr>
        <w:rFonts w:hint="default"/>
        <w:b/>
        <w:sz w:val="22"/>
      </w:rPr>
    </w:lvl>
    <w:lvl w:ilvl="7">
      <w:start w:val="1"/>
      <w:numFmt w:val="decimal"/>
      <w:isLgl/>
      <w:lvlText w:val="%1.%2.%3.%4.%5.%6.%7.%8"/>
      <w:lvlJc w:val="left"/>
      <w:pPr>
        <w:ind w:left="1800" w:hanging="1800"/>
      </w:pPr>
      <w:rPr>
        <w:rFonts w:hint="default"/>
        <w:b/>
        <w:sz w:val="22"/>
      </w:rPr>
    </w:lvl>
    <w:lvl w:ilvl="8">
      <w:start w:val="1"/>
      <w:numFmt w:val="decimal"/>
      <w:isLgl/>
      <w:lvlText w:val="%1.%2.%3.%4.%5.%6.%7.%8.%9"/>
      <w:lvlJc w:val="left"/>
      <w:pPr>
        <w:ind w:left="1800" w:hanging="1800"/>
      </w:pPr>
      <w:rPr>
        <w:rFonts w:hint="default"/>
        <w:b/>
        <w:sz w:val="22"/>
      </w:rPr>
    </w:lvl>
  </w:abstractNum>
  <w:abstractNum w:abstractNumId="39">
    <w:nsid w:val="7102391B"/>
    <w:multiLevelType w:val="hybridMultilevel"/>
    <w:tmpl w:val="EDF80B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741920F6"/>
    <w:multiLevelType w:val="hybridMultilevel"/>
    <w:tmpl w:val="4FD2967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75906C5F"/>
    <w:multiLevelType w:val="hybridMultilevel"/>
    <w:tmpl w:val="769E1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95D3A07"/>
    <w:multiLevelType w:val="hybridMultilevel"/>
    <w:tmpl w:val="6FAA4D1A"/>
    <w:lvl w:ilvl="0" w:tplc="31586944">
      <w:start w:val="1"/>
      <w:numFmt w:val="lowerLetter"/>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7C1218D3"/>
    <w:multiLevelType w:val="singleLevel"/>
    <w:tmpl w:val="F0F23C30"/>
    <w:lvl w:ilvl="0">
      <w:start w:val="1"/>
      <w:numFmt w:val="bullet"/>
      <w:pStyle w:val="Bullet"/>
      <w:lvlText w:val=""/>
      <w:lvlJc w:val="left"/>
      <w:pPr>
        <w:tabs>
          <w:tab w:val="num" w:pos="283"/>
        </w:tabs>
        <w:ind w:left="283" w:hanging="283"/>
      </w:pPr>
      <w:rPr>
        <w:rFonts w:ascii="Symbol" w:hAnsi="Symbol" w:hint="default"/>
        <w:color w:val="auto"/>
        <w:sz w:val="18"/>
        <w:szCs w:val="18"/>
      </w:rPr>
    </w:lvl>
  </w:abstractNum>
  <w:abstractNum w:abstractNumId="44">
    <w:nsid w:val="7D9C2F7B"/>
    <w:multiLevelType w:val="hybridMultilevel"/>
    <w:tmpl w:val="8502425A"/>
    <w:lvl w:ilvl="0" w:tplc="A7249388">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4"/>
  </w:num>
  <w:num w:numId="4">
    <w:abstractNumId w:val="43"/>
  </w:num>
  <w:num w:numId="5">
    <w:abstractNumId w:val="21"/>
  </w:num>
  <w:num w:numId="6">
    <w:abstractNumId w:val="24"/>
    <w:lvlOverride w:ilvl="0">
      <w:startOverride w:val="1"/>
      <w:lvl w:ilvl="0">
        <w:start w:val="1"/>
        <w:numFmt w:val="decimal"/>
        <w:pStyle w:val="StyleNumbered"/>
        <w:lvlText w:val="%1."/>
        <w:lvlJc w:val="left"/>
        <w:pPr>
          <w:tabs>
            <w:tab w:val="num" w:pos="720"/>
          </w:tabs>
          <w:ind w:left="360" w:hanging="360"/>
        </w:pPr>
        <w:rPr>
          <w:rFonts w:ascii="Arial" w:hAnsi="Arial" w:cs="Wingdings" w:hint="default"/>
          <w:b w:val="0"/>
          <w:i w:val="0"/>
          <w:sz w:val="22"/>
          <w:szCs w:val="22"/>
        </w:rPr>
      </w:lvl>
    </w:lvlOverride>
    <w:lvlOverride w:ilvl="1">
      <w:startOverride w:val="1"/>
      <w:lvl w:ilvl="1">
        <w:start w:val="1"/>
        <w:numFmt w:val="decimal"/>
        <w:lvlText w:val="%1.%2."/>
        <w:lvlJc w:val="left"/>
        <w:pPr>
          <w:tabs>
            <w:tab w:val="num" w:pos="1440"/>
          </w:tabs>
          <w:ind w:left="792"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1"/>
  </w:num>
  <w:num w:numId="8">
    <w:abstractNumId w:val="6"/>
  </w:num>
  <w:num w:numId="9">
    <w:abstractNumId w:val="18"/>
  </w:num>
  <w:num w:numId="10">
    <w:abstractNumId w:val="34"/>
  </w:num>
  <w:num w:numId="11">
    <w:abstractNumId w:val="20"/>
  </w:num>
  <w:num w:numId="12">
    <w:abstractNumId w:val="28"/>
  </w:num>
  <w:num w:numId="13">
    <w:abstractNumId w:val="22"/>
  </w:num>
  <w:num w:numId="14">
    <w:abstractNumId w:val="44"/>
  </w:num>
  <w:num w:numId="15">
    <w:abstractNumId w:val="1"/>
  </w:num>
  <w:num w:numId="16">
    <w:abstractNumId w:val="9"/>
  </w:num>
  <w:num w:numId="17">
    <w:abstractNumId w:val="38"/>
  </w:num>
  <w:num w:numId="18">
    <w:abstractNumId w:val="11"/>
  </w:num>
  <w:num w:numId="19">
    <w:abstractNumId w:val="8"/>
  </w:num>
  <w:num w:numId="20">
    <w:abstractNumId w:val="23"/>
  </w:num>
  <w:num w:numId="21">
    <w:abstractNumId w:val="17"/>
  </w:num>
  <w:num w:numId="22">
    <w:abstractNumId w:val="5"/>
  </w:num>
  <w:num w:numId="23">
    <w:abstractNumId w:val="13"/>
  </w:num>
  <w:num w:numId="24">
    <w:abstractNumId w:val="30"/>
  </w:num>
  <w:num w:numId="25">
    <w:abstractNumId w:val="16"/>
  </w:num>
  <w:num w:numId="26">
    <w:abstractNumId w:val="0"/>
  </w:num>
  <w:num w:numId="27">
    <w:abstractNumId w:val="41"/>
  </w:num>
  <w:num w:numId="28">
    <w:abstractNumId w:val="3"/>
  </w:num>
  <w:num w:numId="29">
    <w:abstractNumId w:val="12"/>
  </w:num>
  <w:num w:numId="30">
    <w:abstractNumId w:val="19"/>
  </w:num>
  <w:num w:numId="31">
    <w:abstractNumId w:val="2"/>
  </w:num>
  <w:num w:numId="32">
    <w:abstractNumId w:val="40"/>
  </w:num>
  <w:num w:numId="33">
    <w:abstractNumId w:val="7"/>
  </w:num>
  <w:num w:numId="34">
    <w:abstractNumId w:val="15"/>
  </w:num>
  <w:num w:numId="35">
    <w:abstractNumId w:val="27"/>
  </w:num>
  <w:num w:numId="36">
    <w:abstractNumId w:val="35"/>
  </w:num>
  <w:num w:numId="37">
    <w:abstractNumId w:val="36"/>
  </w:num>
  <w:num w:numId="38">
    <w:abstractNumId w:val="39"/>
  </w:num>
  <w:num w:numId="39">
    <w:abstractNumId w:val="25"/>
  </w:num>
  <w:num w:numId="40">
    <w:abstractNumId w:val="10"/>
  </w:num>
  <w:num w:numId="41">
    <w:abstractNumId w:val="32"/>
  </w:num>
  <w:num w:numId="42">
    <w:abstractNumId w:val="42"/>
  </w:num>
  <w:num w:numId="43">
    <w:abstractNumId w:val="26"/>
  </w:num>
  <w:num w:numId="44">
    <w:abstractNumId w:val="37"/>
  </w:num>
  <w:num w:numId="4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6F"/>
    <w:rsid w:val="0000326D"/>
    <w:rsid w:val="00003442"/>
    <w:rsid w:val="000056BC"/>
    <w:rsid w:val="00012DE2"/>
    <w:rsid w:val="000250C2"/>
    <w:rsid w:val="0004225B"/>
    <w:rsid w:val="00042E2A"/>
    <w:rsid w:val="000451C9"/>
    <w:rsid w:val="00061E44"/>
    <w:rsid w:val="000716C9"/>
    <w:rsid w:val="000814A8"/>
    <w:rsid w:val="00083A42"/>
    <w:rsid w:val="000860F0"/>
    <w:rsid w:val="00087DD5"/>
    <w:rsid w:val="00096CE3"/>
    <w:rsid w:val="000A097D"/>
    <w:rsid w:val="000A312C"/>
    <w:rsid w:val="000B565C"/>
    <w:rsid w:val="000B5DC5"/>
    <w:rsid w:val="000C0536"/>
    <w:rsid w:val="000C2FC0"/>
    <w:rsid w:val="000F2643"/>
    <w:rsid w:val="000F2922"/>
    <w:rsid w:val="000F545D"/>
    <w:rsid w:val="000F72F9"/>
    <w:rsid w:val="00106EBD"/>
    <w:rsid w:val="00121287"/>
    <w:rsid w:val="0012259E"/>
    <w:rsid w:val="001330A9"/>
    <w:rsid w:val="00135A1F"/>
    <w:rsid w:val="001451F7"/>
    <w:rsid w:val="001659C0"/>
    <w:rsid w:val="00183C5D"/>
    <w:rsid w:val="00184221"/>
    <w:rsid w:val="00185393"/>
    <w:rsid w:val="001905D4"/>
    <w:rsid w:val="00195B80"/>
    <w:rsid w:val="001A38DE"/>
    <w:rsid w:val="001B6F56"/>
    <w:rsid w:val="001C0122"/>
    <w:rsid w:val="001C52AC"/>
    <w:rsid w:val="001D3BE2"/>
    <w:rsid w:val="001D63F0"/>
    <w:rsid w:val="001E4233"/>
    <w:rsid w:val="001E60F0"/>
    <w:rsid w:val="001E7BC7"/>
    <w:rsid w:val="001F05E6"/>
    <w:rsid w:val="001F6061"/>
    <w:rsid w:val="002031BD"/>
    <w:rsid w:val="002048F9"/>
    <w:rsid w:val="0022223D"/>
    <w:rsid w:val="00224724"/>
    <w:rsid w:val="00227880"/>
    <w:rsid w:val="002414BC"/>
    <w:rsid w:val="00246184"/>
    <w:rsid w:val="002468C4"/>
    <w:rsid w:val="00257282"/>
    <w:rsid w:val="00261E85"/>
    <w:rsid w:val="00291484"/>
    <w:rsid w:val="0029498F"/>
    <w:rsid w:val="002A0E41"/>
    <w:rsid w:val="002A1DD5"/>
    <w:rsid w:val="002A4D7D"/>
    <w:rsid w:val="002B4A1A"/>
    <w:rsid w:val="002E7C20"/>
    <w:rsid w:val="002F1786"/>
    <w:rsid w:val="0030549C"/>
    <w:rsid w:val="003243AE"/>
    <w:rsid w:val="00327242"/>
    <w:rsid w:val="00334761"/>
    <w:rsid w:val="00336423"/>
    <w:rsid w:val="00363B31"/>
    <w:rsid w:val="00374D98"/>
    <w:rsid w:val="0037513D"/>
    <w:rsid w:val="00380CBA"/>
    <w:rsid w:val="00382874"/>
    <w:rsid w:val="00387BA6"/>
    <w:rsid w:val="003923E5"/>
    <w:rsid w:val="003B38AD"/>
    <w:rsid w:val="003E4505"/>
    <w:rsid w:val="003F2A77"/>
    <w:rsid w:val="0041114E"/>
    <w:rsid w:val="00415C77"/>
    <w:rsid w:val="00420E59"/>
    <w:rsid w:val="004371FF"/>
    <w:rsid w:val="0044268E"/>
    <w:rsid w:val="00460FDC"/>
    <w:rsid w:val="004720CC"/>
    <w:rsid w:val="004A1C49"/>
    <w:rsid w:val="004C06FC"/>
    <w:rsid w:val="004C28CB"/>
    <w:rsid w:val="004C4CB6"/>
    <w:rsid w:val="004E2D85"/>
    <w:rsid w:val="004E3292"/>
    <w:rsid w:val="004E6BB4"/>
    <w:rsid w:val="004F32E0"/>
    <w:rsid w:val="00511FC3"/>
    <w:rsid w:val="0051465E"/>
    <w:rsid w:val="00515C2B"/>
    <w:rsid w:val="00524FAC"/>
    <w:rsid w:val="00542882"/>
    <w:rsid w:val="00543F27"/>
    <w:rsid w:val="00546BAF"/>
    <w:rsid w:val="00550913"/>
    <w:rsid w:val="00567241"/>
    <w:rsid w:val="00567A88"/>
    <w:rsid w:val="00571B34"/>
    <w:rsid w:val="00584CB8"/>
    <w:rsid w:val="00584D44"/>
    <w:rsid w:val="005A139A"/>
    <w:rsid w:val="005A216F"/>
    <w:rsid w:val="005A3134"/>
    <w:rsid w:val="005A410F"/>
    <w:rsid w:val="005A6C1A"/>
    <w:rsid w:val="005B7E1B"/>
    <w:rsid w:val="005C1C90"/>
    <w:rsid w:val="005C2829"/>
    <w:rsid w:val="005E2176"/>
    <w:rsid w:val="005E53E7"/>
    <w:rsid w:val="005F2147"/>
    <w:rsid w:val="00602136"/>
    <w:rsid w:val="006023E0"/>
    <w:rsid w:val="0063468D"/>
    <w:rsid w:val="00643D5F"/>
    <w:rsid w:val="00644627"/>
    <w:rsid w:val="00654DA1"/>
    <w:rsid w:val="0065512A"/>
    <w:rsid w:val="006556C4"/>
    <w:rsid w:val="006649B5"/>
    <w:rsid w:val="00675299"/>
    <w:rsid w:val="006753D0"/>
    <w:rsid w:val="00680C04"/>
    <w:rsid w:val="00683076"/>
    <w:rsid w:val="00684FCE"/>
    <w:rsid w:val="006965F5"/>
    <w:rsid w:val="006F7DE2"/>
    <w:rsid w:val="00723D56"/>
    <w:rsid w:val="00730A19"/>
    <w:rsid w:val="00745EB7"/>
    <w:rsid w:val="00747914"/>
    <w:rsid w:val="0075626F"/>
    <w:rsid w:val="0076429F"/>
    <w:rsid w:val="0077088E"/>
    <w:rsid w:val="00771D1C"/>
    <w:rsid w:val="00771E9F"/>
    <w:rsid w:val="00772790"/>
    <w:rsid w:val="00797853"/>
    <w:rsid w:val="007A0221"/>
    <w:rsid w:val="007C5818"/>
    <w:rsid w:val="007C74E0"/>
    <w:rsid w:val="007D441E"/>
    <w:rsid w:val="007D771D"/>
    <w:rsid w:val="007E7084"/>
    <w:rsid w:val="007F60BE"/>
    <w:rsid w:val="008034F3"/>
    <w:rsid w:val="00806C9D"/>
    <w:rsid w:val="0081027D"/>
    <w:rsid w:val="00814514"/>
    <w:rsid w:val="00824F03"/>
    <w:rsid w:val="00840BAA"/>
    <w:rsid w:val="00852E35"/>
    <w:rsid w:val="00855CFE"/>
    <w:rsid w:val="00867263"/>
    <w:rsid w:val="008868B7"/>
    <w:rsid w:val="00892C83"/>
    <w:rsid w:val="00893045"/>
    <w:rsid w:val="00895C64"/>
    <w:rsid w:val="008A5044"/>
    <w:rsid w:val="008B1C82"/>
    <w:rsid w:val="008B1D7F"/>
    <w:rsid w:val="008B595B"/>
    <w:rsid w:val="008C4D79"/>
    <w:rsid w:val="008D320A"/>
    <w:rsid w:val="008F3CAE"/>
    <w:rsid w:val="00905D4C"/>
    <w:rsid w:val="00907F33"/>
    <w:rsid w:val="00912269"/>
    <w:rsid w:val="009138C8"/>
    <w:rsid w:val="0092194C"/>
    <w:rsid w:val="00926CB4"/>
    <w:rsid w:val="00930417"/>
    <w:rsid w:val="00936691"/>
    <w:rsid w:val="009466C0"/>
    <w:rsid w:val="00952795"/>
    <w:rsid w:val="00955202"/>
    <w:rsid w:val="009866FE"/>
    <w:rsid w:val="0099392B"/>
    <w:rsid w:val="009A2161"/>
    <w:rsid w:val="009A72D4"/>
    <w:rsid w:val="009B68D6"/>
    <w:rsid w:val="009B7720"/>
    <w:rsid w:val="009D4230"/>
    <w:rsid w:val="009D4BC5"/>
    <w:rsid w:val="009F5F75"/>
    <w:rsid w:val="00A01FA9"/>
    <w:rsid w:val="00A04635"/>
    <w:rsid w:val="00A45561"/>
    <w:rsid w:val="00A5018A"/>
    <w:rsid w:val="00A5577C"/>
    <w:rsid w:val="00A57DE9"/>
    <w:rsid w:val="00A65D43"/>
    <w:rsid w:val="00A66F06"/>
    <w:rsid w:val="00A67A48"/>
    <w:rsid w:val="00A75963"/>
    <w:rsid w:val="00A818C6"/>
    <w:rsid w:val="00A82DF8"/>
    <w:rsid w:val="00A90B01"/>
    <w:rsid w:val="00A94E85"/>
    <w:rsid w:val="00AA1F93"/>
    <w:rsid w:val="00AA4FFC"/>
    <w:rsid w:val="00AA7E28"/>
    <w:rsid w:val="00AB5B53"/>
    <w:rsid w:val="00AB76D8"/>
    <w:rsid w:val="00AC5259"/>
    <w:rsid w:val="00AD781B"/>
    <w:rsid w:val="00AD7977"/>
    <w:rsid w:val="00AE6726"/>
    <w:rsid w:val="00AF3065"/>
    <w:rsid w:val="00AF4DE9"/>
    <w:rsid w:val="00B143A1"/>
    <w:rsid w:val="00B1547A"/>
    <w:rsid w:val="00B15751"/>
    <w:rsid w:val="00B215B3"/>
    <w:rsid w:val="00B2432B"/>
    <w:rsid w:val="00B25281"/>
    <w:rsid w:val="00B26DF1"/>
    <w:rsid w:val="00B30576"/>
    <w:rsid w:val="00B30881"/>
    <w:rsid w:val="00B336AF"/>
    <w:rsid w:val="00B42774"/>
    <w:rsid w:val="00B4592F"/>
    <w:rsid w:val="00B47CC3"/>
    <w:rsid w:val="00B735E2"/>
    <w:rsid w:val="00B8383A"/>
    <w:rsid w:val="00B91A3A"/>
    <w:rsid w:val="00BA14CD"/>
    <w:rsid w:val="00BA180B"/>
    <w:rsid w:val="00BA3B09"/>
    <w:rsid w:val="00BA69C5"/>
    <w:rsid w:val="00BB2915"/>
    <w:rsid w:val="00BC55B2"/>
    <w:rsid w:val="00BD0A49"/>
    <w:rsid w:val="00BF4C73"/>
    <w:rsid w:val="00BF516A"/>
    <w:rsid w:val="00C01088"/>
    <w:rsid w:val="00C01550"/>
    <w:rsid w:val="00C031DC"/>
    <w:rsid w:val="00C0561E"/>
    <w:rsid w:val="00C157CE"/>
    <w:rsid w:val="00C17262"/>
    <w:rsid w:val="00C24A5C"/>
    <w:rsid w:val="00C24C64"/>
    <w:rsid w:val="00C37F0B"/>
    <w:rsid w:val="00C4764D"/>
    <w:rsid w:val="00C648AB"/>
    <w:rsid w:val="00C7157E"/>
    <w:rsid w:val="00C74CCC"/>
    <w:rsid w:val="00C865EE"/>
    <w:rsid w:val="00C92F66"/>
    <w:rsid w:val="00C93182"/>
    <w:rsid w:val="00CA57B2"/>
    <w:rsid w:val="00CB3D7B"/>
    <w:rsid w:val="00CB522C"/>
    <w:rsid w:val="00CC2445"/>
    <w:rsid w:val="00CC3E9A"/>
    <w:rsid w:val="00CC44F5"/>
    <w:rsid w:val="00CD21BF"/>
    <w:rsid w:val="00CD7EC1"/>
    <w:rsid w:val="00CE08DE"/>
    <w:rsid w:val="00CE338A"/>
    <w:rsid w:val="00D012EF"/>
    <w:rsid w:val="00D021A1"/>
    <w:rsid w:val="00D0784A"/>
    <w:rsid w:val="00D13A2B"/>
    <w:rsid w:val="00D44313"/>
    <w:rsid w:val="00D56430"/>
    <w:rsid w:val="00D65474"/>
    <w:rsid w:val="00D75917"/>
    <w:rsid w:val="00D853EB"/>
    <w:rsid w:val="00D94F3C"/>
    <w:rsid w:val="00D9504A"/>
    <w:rsid w:val="00D96BB9"/>
    <w:rsid w:val="00DB2BB2"/>
    <w:rsid w:val="00DB736E"/>
    <w:rsid w:val="00DC2F98"/>
    <w:rsid w:val="00DC7738"/>
    <w:rsid w:val="00DD04FC"/>
    <w:rsid w:val="00DD5D6E"/>
    <w:rsid w:val="00DD66A9"/>
    <w:rsid w:val="00DD69A8"/>
    <w:rsid w:val="00DE0638"/>
    <w:rsid w:val="00E0332A"/>
    <w:rsid w:val="00E126B4"/>
    <w:rsid w:val="00E140F6"/>
    <w:rsid w:val="00E16437"/>
    <w:rsid w:val="00E3233F"/>
    <w:rsid w:val="00E33DB7"/>
    <w:rsid w:val="00E52C92"/>
    <w:rsid w:val="00E77C90"/>
    <w:rsid w:val="00E83F26"/>
    <w:rsid w:val="00E90D32"/>
    <w:rsid w:val="00EA077F"/>
    <w:rsid w:val="00EA27F8"/>
    <w:rsid w:val="00EA505A"/>
    <w:rsid w:val="00EA6EEB"/>
    <w:rsid w:val="00EB2455"/>
    <w:rsid w:val="00EC184A"/>
    <w:rsid w:val="00EC3CA7"/>
    <w:rsid w:val="00F0599D"/>
    <w:rsid w:val="00F07B76"/>
    <w:rsid w:val="00F11D21"/>
    <w:rsid w:val="00F22DCE"/>
    <w:rsid w:val="00F330A5"/>
    <w:rsid w:val="00F3746F"/>
    <w:rsid w:val="00F4205A"/>
    <w:rsid w:val="00F726BE"/>
    <w:rsid w:val="00F87AB5"/>
    <w:rsid w:val="00F907D8"/>
    <w:rsid w:val="00F917BB"/>
    <w:rsid w:val="00FA1EF3"/>
    <w:rsid w:val="00FA5404"/>
    <w:rsid w:val="00FB0EA9"/>
    <w:rsid w:val="00FB73BD"/>
    <w:rsid w:val="00FC2F34"/>
    <w:rsid w:val="00FD16D2"/>
    <w:rsid w:val="00FE7A68"/>
    <w:rsid w:val="00FE7DAA"/>
    <w:rsid w:val="00FF10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1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52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4627"/>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644627"/>
    <w:rPr>
      <w:rFonts w:eastAsia="Times New Roman" w:cs="Arial"/>
      <w:b/>
      <w:bCs/>
      <w:kern w:val="28"/>
      <w:sz w:val="32"/>
      <w:szCs w:val="32"/>
      <w:lang w:eastAsia="en-GB"/>
    </w:rPr>
  </w:style>
  <w:style w:type="paragraph" w:styleId="BodyText">
    <w:name w:val="Body Text"/>
    <w:basedOn w:val="Normal"/>
    <w:link w:val="BodyTextChar"/>
    <w:rsid w:val="00644627"/>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644627"/>
    <w:rPr>
      <w:rFonts w:ascii="Times New Roman" w:eastAsia="Times New Roman" w:hAnsi="Times New Roman" w:cs="Times New Roman"/>
      <w:szCs w:val="24"/>
      <w:lang w:eastAsia="en-GB"/>
    </w:rPr>
  </w:style>
  <w:style w:type="paragraph" w:customStyle="1" w:styleId="NEACbodypara">
    <w:name w:val="NEAC body para"/>
    <w:basedOn w:val="Normal"/>
    <w:link w:val="NEACbodyparaChar"/>
    <w:rsid w:val="00644627"/>
    <w:pPr>
      <w:spacing w:before="240" w:after="0" w:line="240" w:lineRule="auto"/>
    </w:pPr>
    <w:rPr>
      <w:rFonts w:ascii="Arial Mäori" w:eastAsia="Times New Roman" w:hAnsi="Arial Mäori" w:cs="Times New Roman"/>
      <w:szCs w:val="24"/>
      <w:lang w:eastAsia="en-GB"/>
    </w:rPr>
  </w:style>
  <w:style w:type="character" w:customStyle="1" w:styleId="NEACbodyparaChar">
    <w:name w:val="NEAC body para Char"/>
    <w:link w:val="NEACbodypara"/>
    <w:rsid w:val="00644627"/>
    <w:rPr>
      <w:rFonts w:ascii="Arial Mäori" w:eastAsia="Times New Roman" w:hAnsi="Arial Mäori" w:cs="Times New Roman"/>
      <w:szCs w:val="24"/>
      <w:lang w:eastAsia="en-GB"/>
    </w:rPr>
  </w:style>
  <w:style w:type="paragraph" w:customStyle="1" w:styleId="NEACbullet">
    <w:name w:val="NEAC bullet"/>
    <w:basedOn w:val="ListBullet"/>
    <w:rsid w:val="00644627"/>
    <w:pPr>
      <w:spacing w:before="240" w:after="0" w:line="240" w:lineRule="auto"/>
      <w:contextualSpacing w:val="0"/>
    </w:pPr>
    <w:rPr>
      <w:rFonts w:ascii="Arial Mäori" w:eastAsia="Times New Roman" w:hAnsi="Arial Mäori" w:cs="Times New Roman"/>
      <w:szCs w:val="24"/>
      <w:lang w:eastAsia="en-GB"/>
    </w:rPr>
  </w:style>
  <w:style w:type="paragraph" w:customStyle="1" w:styleId="Gov1">
    <w:name w:val="Gov 1"/>
    <w:basedOn w:val="Heading1"/>
    <w:rsid w:val="00644627"/>
    <w:pPr>
      <w:keepLines w:val="0"/>
      <w:numPr>
        <w:numId w:val="1"/>
      </w:numPr>
      <w:tabs>
        <w:tab w:val="clear" w:pos="567"/>
        <w:tab w:val="num" w:pos="360"/>
      </w:tabs>
      <w:spacing w:before="240" w:after="60" w:line="240" w:lineRule="auto"/>
      <w:ind w:left="0" w:firstLine="0"/>
    </w:pPr>
    <w:rPr>
      <w:rFonts w:ascii="Arial Mäori" w:eastAsia="Times New Roman" w:hAnsi="Arial Mäori" w:cs="Arial"/>
      <w:color w:val="auto"/>
      <w:kern w:val="32"/>
      <w:sz w:val="32"/>
      <w:szCs w:val="32"/>
      <w:lang w:eastAsia="en-GB"/>
    </w:rPr>
  </w:style>
  <w:style w:type="paragraph" w:customStyle="1" w:styleId="Gov2">
    <w:name w:val="Gov 2"/>
    <w:basedOn w:val="Gov1"/>
    <w:next w:val="NEACbodypara"/>
    <w:rsid w:val="00644627"/>
    <w:pPr>
      <w:numPr>
        <w:ilvl w:val="1"/>
      </w:numPr>
      <w:tabs>
        <w:tab w:val="clear" w:pos="794"/>
        <w:tab w:val="num" w:pos="360"/>
      </w:tabs>
    </w:pPr>
    <w:rPr>
      <w:sz w:val="24"/>
      <w:szCs w:val="28"/>
    </w:rPr>
  </w:style>
  <w:style w:type="paragraph" w:customStyle="1" w:styleId="Gov3">
    <w:name w:val="Gov 3"/>
    <w:basedOn w:val="Gov1"/>
    <w:rsid w:val="00644627"/>
    <w:pPr>
      <w:numPr>
        <w:ilvl w:val="2"/>
      </w:numPr>
    </w:pPr>
    <w:rPr>
      <w:sz w:val="22"/>
      <w:szCs w:val="24"/>
    </w:rPr>
  </w:style>
  <w:style w:type="paragraph" w:styleId="ListParagraph">
    <w:name w:val="List Paragraph"/>
    <w:basedOn w:val="Normal"/>
    <w:uiPriority w:val="34"/>
    <w:qFormat/>
    <w:rsid w:val="00644627"/>
    <w:pPr>
      <w:ind w:left="720"/>
      <w:contextualSpacing/>
    </w:pPr>
    <w:rPr>
      <w:rFonts w:eastAsia="Calibri" w:cs="Times New Roman"/>
    </w:rPr>
  </w:style>
  <w:style w:type="paragraph" w:customStyle="1" w:styleId="Number">
    <w:name w:val="Number"/>
    <w:basedOn w:val="Normal"/>
    <w:link w:val="NumberChar"/>
    <w:rsid w:val="00644627"/>
    <w:pPr>
      <w:tabs>
        <w:tab w:val="num" w:pos="360"/>
      </w:tabs>
      <w:spacing w:before="240" w:after="0" w:line="240" w:lineRule="auto"/>
    </w:pPr>
    <w:rPr>
      <w:rFonts w:eastAsia="Times New Roman" w:cs="Times New Roman"/>
      <w:sz w:val="22"/>
      <w:szCs w:val="20"/>
      <w:lang w:eastAsia="en-GB"/>
    </w:rPr>
  </w:style>
  <w:style w:type="paragraph" w:styleId="ListBullet">
    <w:name w:val="List Bullet"/>
    <w:basedOn w:val="Normal"/>
    <w:uiPriority w:val="99"/>
    <w:semiHidden/>
    <w:unhideWhenUsed/>
    <w:rsid w:val="00644627"/>
    <w:pPr>
      <w:tabs>
        <w:tab w:val="num" w:pos="720"/>
      </w:tabs>
      <w:ind w:left="720" w:hanging="360"/>
      <w:contextualSpacing/>
    </w:pPr>
  </w:style>
  <w:style w:type="character" w:customStyle="1" w:styleId="Heading1Char">
    <w:name w:val="Heading 1 Char"/>
    <w:basedOn w:val="DefaultParagraphFont"/>
    <w:link w:val="Heading1"/>
    <w:uiPriority w:val="9"/>
    <w:rsid w:val="0064462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44627"/>
    <w:pPr>
      <w:outlineLvl w:val="9"/>
    </w:pPr>
    <w:rPr>
      <w:lang w:val="en-US" w:eastAsia="ja-JP"/>
    </w:rPr>
  </w:style>
  <w:style w:type="paragraph" w:styleId="TOC1">
    <w:name w:val="toc 1"/>
    <w:basedOn w:val="Normal"/>
    <w:next w:val="Normal"/>
    <w:autoRedefine/>
    <w:uiPriority w:val="39"/>
    <w:unhideWhenUsed/>
    <w:rsid w:val="009D4230"/>
    <w:pPr>
      <w:tabs>
        <w:tab w:val="right" w:pos="8959"/>
      </w:tabs>
      <w:spacing w:after="100"/>
    </w:pPr>
    <w:rPr>
      <w:b/>
    </w:rPr>
  </w:style>
  <w:style w:type="character" w:styleId="Hyperlink">
    <w:name w:val="Hyperlink"/>
    <w:basedOn w:val="DefaultParagraphFont"/>
    <w:uiPriority w:val="99"/>
    <w:unhideWhenUsed/>
    <w:rsid w:val="00644627"/>
    <w:rPr>
      <w:color w:val="0000FF" w:themeColor="hyperlink"/>
      <w:u w:val="single"/>
    </w:rPr>
  </w:style>
  <w:style w:type="paragraph" w:styleId="BalloonText">
    <w:name w:val="Balloon Text"/>
    <w:basedOn w:val="Normal"/>
    <w:link w:val="BalloonTextChar"/>
    <w:uiPriority w:val="99"/>
    <w:semiHidden/>
    <w:unhideWhenUsed/>
    <w:rsid w:val="0064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27"/>
    <w:rPr>
      <w:rFonts w:ascii="Tahoma" w:hAnsi="Tahoma" w:cs="Tahoma"/>
      <w:sz w:val="16"/>
      <w:szCs w:val="16"/>
    </w:rPr>
  </w:style>
  <w:style w:type="character" w:customStyle="1" w:styleId="Heading2Char">
    <w:name w:val="Heading 2 Char"/>
    <w:basedOn w:val="DefaultParagraphFont"/>
    <w:link w:val="Heading2"/>
    <w:uiPriority w:val="9"/>
    <w:rsid w:val="000C053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C0536"/>
    <w:rPr>
      <w:b/>
      <w:bCs/>
    </w:rPr>
  </w:style>
  <w:style w:type="paragraph" w:styleId="FootnoteText">
    <w:name w:val="footnote text"/>
    <w:basedOn w:val="Normal"/>
    <w:link w:val="FootnoteTextChar"/>
    <w:uiPriority w:val="99"/>
    <w:semiHidden/>
    <w:rsid w:val="00363B31"/>
    <w:pPr>
      <w:numPr>
        <w:numId w:val="3"/>
      </w:numPr>
      <w:tabs>
        <w:tab w:val="clear" w:pos="567"/>
      </w:tabs>
      <w:spacing w:before="60" w:after="60" w:line="240" w:lineRule="auto"/>
      <w:ind w:left="284" w:hanging="284"/>
    </w:pPr>
    <w:rPr>
      <w:rFonts w:eastAsia="Times New Roman" w:cs="Times New Roman"/>
      <w:sz w:val="18"/>
      <w:szCs w:val="20"/>
      <w:lang w:eastAsia="en-GB"/>
    </w:rPr>
  </w:style>
  <w:style w:type="character" w:customStyle="1" w:styleId="FootnoteTextChar">
    <w:name w:val="Footnote Text Char"/>
    <w:basedOn w:val="DefaultParagraphFont"/>
    <w:link w:val="FootnoteText"/>
    <w:uiPriority w:val="99"/>
    <w:semiHidden/>
    <w:rsid w:val="00363B31"/>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4720CC"/>
    <w:rPr>
      <w:sz w:val="16"/>
      <w:szCs w:val="16"/>
    </w:rPr>
  </w:style>
  <w:style w:type="paragraph" w:styleId="CommentText">
    <w:name w:val="annotation text"/>
    <w:basedOn w:val="Normal"/>
    <w:link w:val="CommentTextChar"/>
    <w:uiPriority w:val="99"/>
    <w:unhideWhenUsed/>
    <w:rsid w:val="004720CC"/>
    <w:pPr>
      <w:spacing w:line="240" w:lineRule="auto"/>
    </w:pPr>
    <w:rPr>
      <w:sz w:val="20"/>
      <w:szCs w:val="20"/>
    </w:rPr>
  </w:style>
  <w:style w:type="character" w:customStyle="1" w:styleId="CommentTextChar">
    <w:name w:val="Comment Text Char"/>
    <w:basedOn w:val="DefaultParagraphFont"/>
    <w:link w:val="CommentText"/>
    <w:uiPriority w:val="99"/>
    <w:rsid w:val="004720CC"/>
    <w:rPr>
      <w:sz w:val="20"/>
      <w:szCs w:val="20"/>
    </w:rPr>
  </w:style>
  <w:style w:type="paragraph" w:styleId="CommentSubject">
    <w:name w:val="annotation subject"/>
    <w:basedOn w:val="CommentText"/>
    <w:next w:val="CommentText"/>
    <w:link w:val="CommentSubjectChar"/>
    <w:uiPriority w:val="99"/>
    <w:semiHidden/>
    <w:unhideWhenUsed/>
    <w:rsid w:val="004720CC"/>
    <w:rPr>
      <w:b/>
      <w:bCs/>
    </w:rPr>
  </w:style>
  <w:style w:type="character" w:customStyle="1" w:styleId="CommentSubjectChar">
    <w:name w:val="Comment Subject Char"/>
    <w:basedOn w:val="CommentTextChar"/>
    <w:link w:val="CommentSubject"/>
    <w:uiPriority w:val="99"/>
    <w:semiHidden/>
    <w:rsid w:val="004720CC"/>
    <w:rPr>
      <w:b/>
      <w:bCs/>
      <w:sz w:val="20"/>
      <w:szCs w:val="20"/>
    </w:rPr>
  </w:style>
  <w:style w:type="character" w:customStyle="1" w:styleId="BulletChar">
    <w:name w:val="Bullet Char"/>
    <w:link w:val="Bullet"/>
    <w:locked/>
    <w:rsid w:val="003B38AD"/>
    <w:rPr>
      <w:rFonts w:cs="Arial"/>
      <w:color w:val="003B5A"/>
      <w:sz w:val="22"/>
      <w:lang w:eastAsia="en-GB"/>
    </w:rPr>
  </w:style>
  <w:style w:type="paragraph" w:customStyle="1" w:styleId="Bullet">
    <w:name w:val="Bullet"/>
    <w:basedOn w:val="Normal"/>
    <w:link w:val="BulletChar"/>
    <w:rsid w:val="003B38AD"/>
    <w:pPr>
      <w:numPr>
        <w:numId w:val="4"/>
      </w:numPr>
      <w:spacing w:before="120" w:after="0" w:line="264" w:lineRule="auto"/>
    </w:pPr>
    <w:rPr>
      <w:rFonts w:cs="Arial"/>
      <w:color w:val="003B5A"/>
      <w:sz w:val="22"/>
      <w:lang w:eastAsia="en-GB"/>
    </w:rPr>
  </w:style>
  <w:style w:type="character" w:customStyle="1" w:styleId="NumberChar">
    <w:name w:val="Number Char"/>
    <w:link w:val="Number"/>
    <w:locked/>
    <w:rsid w:val="003B38AD"/>
    <w:rPr>
      <w:rFonts w:eastAsia="Times New Roman" w:cs="Times New Roman"/>
      <w:sz w:val="22"/>
      <w:szCs w:val="20"/>
      <w:lang w:eastAsia="en-GB"/>
    </w:rPr>
  </w:style>
  <w:style w:type="paragraph" w:customStyle="1" w:styleId="StyleNumbered">
    <w:name w:val="Style Numbered"/>
    <w:basedOn w:val="Normal"/>
    <w:autoRedefine/>
    <w:rsid w:val="003B38AD"/>
    <w:pPr>
      <w:numPr>
        <w:numId w:val="6"/>
      </w:numPr>
      <w:spacing w:before="120" w:after="120" w:line="280" w:lineRule="atLeast"/>
    </w:pPr>
    <w:rPr>
      <w:rFonts w:eastAsia="Times New Roman" w:cs="Times New Roman"/>
      <w:sz w:val="22"/>
      <w:szCs w:val="24"/>
    </w:rPr>
  </w:style>
  <w:style w:type="numbering" w:styleId="111111">
    <w:name w:val="Outline List 2"/>
    <w:basedOn w:val="NoList"/>
    <w:semiHidden/>
    <w:unhideWhenUsed/>
    <w:rsid w:val="003B38AD"/>
    <w:pPr>
      <w:numPr>
        <w:numId w:val="5"/>
      </w:numPr>
    </w:pPr>
  </w:style>
  <w:style w:type="table" w:styleId="TableGrid">
    <w:name w:val="Table Grid"/>
    <w:basedOn w:val="TableNormal"/>
    <w:uiPriority w:val="59"/>
    <w:rsid w:val="003B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F516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BF516A"/>
    <w:rPr>
      <w:vertAlign w:val="superscript"/>
    </w:rPr>
  </w:style>
  <w:style w:type="paragraph" w:customStyle="1" w:styleId="Gov4">
    <w:name w:val="Gov 4"/>
    <w:basedOn w:val="Heading4"/>
    <w:rsid w:val="00CB522C"/>
    <w:pPr>
      <w:keepLines w:val="0"/>
      <w:spacing w:before="240" w:line="240" w:lineRule="auto"/>
    </w:pPr>
    <w:rPr>
      <w:rFonts w:ascii="Arial Mäori" w:eastAsia="Times New Roman" w:hAnsi="Arial Mäori" w:cs="Times New Roman"/>
      <w:b w:val="0"/>
      <w:bCs w:val="0"/>
      <w:iCs w:val="0"/>
      <w:color w:val="auto"/>
      <w:szCs w:val="24"/>
      <w:lang w:eastAsia="en-GB"/>
    </w:rPr>
  </w:style>
  <w:style w:type="character" w:customStyle="1" w:styleId="Heading4Char">
    <w:name w:val="Heading 4 Char"/>
    <w:basedOn w:val="DefaultParagraphFont"/>
    <w:link w:val="Heading4"/>
    <w:uiPriority w:val="9"/>
    <w:semiHidden/>
    <w:rsid w:val="00CB52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8F3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AE"/>
  </w:style>
  <w:style w:type="paragraph" w:styleId="Footer">
    <w:name w:val="footer"/>
    <w:basedOn w:val="Normal"/>
    <w:link w:val="FooterChar"/>
    <w:uiPriority w:val="99"/>
    <w:unhideWhenUsed/>
    <w:rsid w:val="008F3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AE"/>
  </w:style>
  <w:style w:type="paragraph" w:customStyle="1" w:styleId="Default">
    <w:name w:val="Default"/>
    <w:rsid w:val="00B26DF1"/>
    <w:pPr>
      <w:autoSpaceDE w:val="0"/>
      <w:autoSpaceDN w:val="0"/>
      <w:adjustRightInd w:val="0"/>
      <w:spacing w:after="0" w:line="240" w:lineRule="auto"/>
    </w:pPr>
    <w:rPr>
      <w:rFonts w:ascii="Cambria" w:hAnsi="Cambria" w:cs="Cambria"/>
      <w:color w:val="000000"/>
      <w:szCs w:val="24"/>
    </w:rPr>
  </w:style>
  <w:style w:type="paragraph" w:styleId="ListBullet3">
    <w:name w:val="List Bullet 3"/>
    <w:basedOn w:val="Normal"/>
    <w:rsid w:val="000056BC"/>
    <w:pPr>
      <w:numPr>
        <w:numId w:val="26"/>
      </w:numPr>
      <w:spacing w:after="0" w:line="240" w:lineRule="auto"/>
    </w:pPr>
    <w:rPr>
      <w:rFonts w:ascii="Times New Roman" w:eastAsia="Times New Roman" w:hAnsi="Times New Roman" w:cs="Times New Roman"/>
      <w:szCs w:val="24"/>
      <w:lang w:eastAsia="en-GB"/>
    </w:rPr>
  </w:style>
  <w:style w:type="paragraph" w:styleId="NoSpacing">
    <w:name w:val="No Spacing"/>
    <w:uiPriority w:val="1"/>
    <w:qFormat/>
    <w:rsid w:val="000056BC"/>
    <w:pPr>
      <w:spacing w:after="0" w:line="240" w:lineRule="auto"/>
    </w:pPr>
  </w:style>
  <w:style w:type="table" w:styleId="LightList-Accent1">
    <w:name w:val="Light List Accent 1"/>
    <w:basedOn w:val="TableNormal"/>
    <w:uiPriority w:val="61"/>
    <w:rsid w:val="005E53E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426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44268E"/>
    <w:rPr>
      <w:i/>
      <w:iCs/>
    </w:rPr>
  </w:style>
  <w:style w:type="paragraph" w:styleId="TOC2">
    <w:name w:val="toc 2"/>
    <w:basedOn w:val="Normal"/>
    <w:next w:val="Normal"/>
    <w:autoRedefine/>
    <w:uiPriority w:val="39"/>
    <w:unhideWhenUsed/>
    <w:rsid w:val="000250C2"/>
    <w:pPr>
      <w:spacing w:after="100"/>
      <w:ind w:left="240"/>
    </w:pPr>
  </w:style>
  <w:style w:type="character" w:styleId="FollowedHyperlink">
    <w:name w:val="FollowedHyperlink"/>
    <w:basedOn w:val="DefaultParagraphFont"/>
    <w:uiPriority w:val="99"/>
    <w:semiHidden/>
    <w:unhideWhenUsed/>
    <w:rsid w:val="00C92F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1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52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4627"/>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644627"/>
    <w:rPr>
      <w:rFonts w:eastAsia="Times New Roman" w:cs="Arial"/>
      <w:b/>
      <w:bCs/>
      <w:kern w:val="28"/>
      <w:sz w:val="32"/>
      <w:szCs w:val="32"/>
      <w:lang w:eastAsia="en-GB"/>
    </w:rPr>
  </w:style>
  <w:style w:type="paragraph" w:styleId="BodyText">
    <w:name w:val="Body Text"/>
    <w:basedOn w:val="Normal"/>
    <w:link w:val="BodyTextChar"/>
    <w:rsid w:val="00644627"/>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644627"/>
    <w:rPr>
      <w:rFonts w:ascii="Times New Roman" w:eastAsia="Times New Roman" w:hAnsi="Times New Roman" w:cs="Times New Roman"/>
      <w:szCs w:val="24"/>
      <w:lang w:eastAsia="en-GB"/>
    </w:rPr>
  </w:style>
  <w:style w:type="paragraph" w:customStyle="1" w:styleId="NEACbodypara">
    <w:name w:val="NEAC body para"/>
    <w:basedOn w:val="Normal"/>
    <w:link w:val="NEACbodyparaChar"/>
    <w:rsid w:val="00644627"/>
    <w:pPr>
      <w:spacing w:before="240" w:after="0" w:line="240" w:lineRule="auto"/>
    </w:pPr>
    <w:rPr>
      <w:rFonts w:ascii="Arial Mäori" w:eastAsia="Times New Roman" w:hAnsi="Arial Mäori" w:cs="Times New Roman"/>
      <w:szCs w:val="24"/>
      <w:lang w:eastAsia="en-GB"/>
    </w:rPr>
  </w:style>
  <w:style w:type="character" w:customStyle="1" w:styleId="NEACbodyparaChar">
    <w:name w:val="NEAC body para Char"/>
    <w:link w:val="NEACbodypara"/>
    <w:rsid w:val="00644627"/>
    <w:rPr>
      <w:rFonts w:ascii="Arial Mäori" w:eastAsia="Times New Roman" w:hAnsi="Arial Mäori" w:cs="Times New Roman"/>
      <w:szCs w:val="24"/>
      <w:lang w:eastAsia="en-GB"/>
    </w:rPr>
  </w:style>
  <w:style w:type="paragraph" w:customStyle="1" w:styleId="NEACbullet">
    <w:name w:val="NEAC bullet"/>
    <w:basedOn w:val="ListBullet"/>
    <w:rsid w:val="00644627"/>
    <w:pPr>
      <w:spacing w:before="240" w:after="0" w:line="240" w:lineRule="auto"/>
      <w:contextualSpacing w:val="0"/>
    </w:pPr>
    <w:rPr>
      <w:rFonts w:ascii="Arial Mäori" w:eastAsia="Times New Roman" w:hAnsi="Arial Mäori" w:cs="Times New Roman"/>
      <w:szCs w:val="24"/>
      <w:lang w:eastAsia="en-GB"/>
    </w:rPr>
  </w:style>
  <w:style w:type="paragraph" w:customStyle="1" w:styleId="Gov1">
    <w:name w:val="Gov 1"/>
    <w:basedOn w:val="Heading1"/>
    <w:rsid w:val="00644627"/>
    <w:pPr>
      <w:keepLines w:val="0"/>
      <w:numPr>
        <w:numId w:val="1"/>
      </w:numPr>
      <w:tabs>
        <w:tab w:val="clear" w:pos="567"/>
        <w:tab w:val="num" w:pos="360"/>
      </w:tabs>
      <w:spacing w:before="240" w:after="60" w:line="240" w:lineRule="auto"/>
      <w:ind w:left="0" w:firstLine="0"/>
    </w:pPr>
    <w:rPr>
      <w:rFonts w:ascii="Arial Mäori" w:eastAsia="Times New Roman" w:hAnsi="Arial Mäori" w:cs="Arial"/>
      <w:color w:val="auto"/>
      <w:kern w:val="32"/>
      <w:sz w:val="32"/>
      <w:szCs w:val="32"/>
      <w:lang w:eastAsia="en-GB"/>
    </w:rPr>
  </w:style>
  <w:style w:type="paragraph" w:customStyle="1" w:styleId="Gov2">
    <w:name w:val="Gov 2"/>
    <w:basedOn w:val="Gov1"/>
    <w:next w:val="NEACbodypara"/>
    <w:rsid w:val="00644627"/>
    <w:pPr>
      <w:numPr>
        <w:ilvl w:val="1"/>
      </w:numPr>
      <w:tabs>
        <w:tab w:val="clear" w:pos="794"/>
        <w:tab w:val="num" w:pos="360"/>
      </w:tabs>
    </w:pPr>
    <w:rPr>
      <w:sz w:val="24"/>
      <w:szCs w:val="28"/>
    </w:rPr>
  </w:style>
  <w:style w:type="paragraph" w:customStyle="1" w:styleId="Gov3">
    <w:name w:val="Gov 3"/>
    <w:basedOn w:val="Gov1"/>
    <w:rsid w:val="00644627"/>
    <w:pPr>
      <w:numPr>
        <w:ilvl w:val="2"/>
      </w:numPr>
    </w:pPr>
    <w:rPr>
      <w:sz w:val="22"/>
      <w:szCs w:val="24"/>
    </w:rPr>
  </w:style>
  <w:style w:type="paragraph" w:styleId="ListParagraph">
    <w:name w:val="List Paragraph"/>
    <w:basedOn w:val="Normal"/>
    <w:uiPriority w:val="34"/>
    <w:qFormat/>
    <w:rsid w:val="00644627"/>
    <w:pPr>
      <w:ind w:left="720"/>
      <w:contextualSpacing/>
    </w:pPr>
    <w:rPr>
      <w:rFonts w:eastAsia="Calibri" w:cs="Times New Roman"/>
    </w:rPr>
  </w:style>
  <w:style w:type="paragraph" w:customStyle="1" w:styleId="Number">
    <w:name w:val="Number"/>
    <w:basedOn w:val="Normal"/>
    <w:link w:val="NumberChar"/>
    <w:rsid w:val="00644627"/>
    <w:pPr>
      <w:tabs>
        <w:tab w:val="num" w:pos="360"/>
      </w:tabs>
      <w:spacing w:before="240" w:after="0" w:line="240" w:lineRule="auto"/>
    </w:pPr>
    <w:rPr>
      <w:rFonts w:eastAsia="Times New Roman" w:cs="Times New Roman"/>
      <w:sz w:val="22"/>
      <w:szCs w:val="20"/>
      <w:lang w:eastAsia="en-GB"/>
    </w:rPr>
  </w:style>
  <w:style w:type="paragraph" w:styleId="ListBullet">
    <w:name w:val="List Bullet"/>
    <w:basedOn w:val="Normal"/>
    <w:uiPriority w:val="99"/>
    <w:semiHidden/>
    <w:unhideWhenUsed/>
    <w:rsid w:val="00644627"/>
    <w:pPr>
      <w:tabs>
        <w:tab w:val="num" w:pos="720"/>
      </w:tabs>
      <w:ind w:left="720" w:hanging="360"/>
      <w:contextualSpacing/>
    </w:pPr>
  </w:style>
  <w:style w:type="character" w:customStyle="1" w:styleId="Heading1Char">
    <w:name w:val="Heading 1 Char"/>
    <w:basedOn w:val="DefaultParagraphFont"/>
    <w:link w:val="Heading1"/>
    <w:uiPriority w:val="9"/>
    <w:rsid w:val="0064462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44627"/>
    <w:pPr>
      <w:outlineLvl w:val="9"/>
    </w:pPr>
    <w:rPr>
      <w:lang w:val="en-US" w:eastAsia="ja-JP"/>
    </w:rPr>
  </w:style>
  <w:style w:type="paragraph" w:styleId="TOC1">
    <w:name w:val="toc 1"/>
    <w:basedOn w:val="Normal"/>
    <w:next w:val="Normal"/>
    <w:autoRedefine/>
    <w:uiPriority w:val="39"/>
    <w:unhideWhenUsed/>
    <w:rsid w:val="009D4230"/>
    <w:pPr>
      <w:tabs>
        <w:tab w:val="right" w:pos="8959"/>
      </w:tabs>
      <w:spacing w:after="100"/>
    </w:pPr>
    <w:rPr>
      <w:b/>
    </w:rPr>
  </w:style>
  <w:style w:type="character" w:styleId="Hyperlink">
    <w:name w:val="Hyperlink"/>
    <w:basedOn w:val="DefaultParagraphFont"/>
    <w:uiPriority w:val="99"/>
    <w:unhideWhenUsed/>
    <w:rsid w:val="00644627"/>
    <w:rPr>
      <w:color w:val="0000FF" w:themeColor="hyperlink"/>
      <w:u w:val="single"/>
    </w:rPr>
  </w:style>
  <w:style w:type="paragraph" w:styleId="BalloonText">
    <w:name w:val="Balloon Text"/>
    <w:basedOn w:val="Normal"/>
    <w:link w:val="BalloonTextChar"/>
    <w:uiPriority w:val="99"/>
    <w:semiHidden/>
    <w:unhideWhenUsed/>
    <w:rsid w:val="0064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27"/>
    <w:rPr>
      <w:rFonts w:ascii="Tahoma" w:hAnsi="Tahoma" w:cs="Tahoma"/>
      <w:sz w:val="16"/>
      <w:szCs w:val="16"/>
    </w:rPr>
  </w:style>
  <w:style w:type="character" w:customStyle="1" w:styleId="Heading2Char">
    <w:name w:val="Heading 2 Char"/>
    <w:basedOn w:val="DefaultParagraphFont"/>
    <w:link w:val="Heading2"/>
    <w:uiPriority w:val="9"/>
    <w:rsid w:val="000C053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C0536"/>
    <w:rPr>
      <w:b/>
      <w:bCs/>
    </w:rPr>
  </w:style>
  <w:style w:type="paragraph" w:styleId="FootnoteText">
    <w:name w:val="footnote text"/>
    <w:basedOn w:val="Normal"/>
    <w:link w:val="FootnoteTextChar"/>
    <w:uiPriority w:val="99"/>
    <w:semiHidden/>
    <w:rsid w:val="00363B31"/>
    <w:pPr>
      <w:numPr>
        <w:numId w:val="3"/>
      </w:numPr>
      <w:tabs>
        <w:tab w:val="clear" w:pos="567"/>
      </w:tabs>
      <w:spacing w:before="60" w:after="60" w:line="240" w:lineRule="auto"/>
      <w:ind w:left="284" w:hanging="284"/>
    </w:pPr>
    <w:rPr>
      <w:rFonts w:eastAsia="Times New Roman" w:cs="Times New Roman"/>
      <w:sz w:val="18"/>
      <w:szCs w:val="20"/>
      <w:lang w:eastAsia="en-GB"/>
    </w:rPr>
  </w:style>
  <w:style w:type="character" w:customStyle="1" w:styleId="FootnoteTextChar">
    <w:name w:val="Footnote Text Char"/>
    <w:basedOn w:val="DefaultParagraphFont"/>
    <w:link w:val="FootnoteText"/>
    <w:uiPriority w:val="99"/>
    <w:semiHidden/>
    <w:rsid w:val="00363B31"/>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4720CC"/>
    <w:rPr>
      <w:sz w:val="16"/>
      <w:szCs w:val="16"/>
    </w:rPr>
  </w:style>
  <w:style w:type="paragraph" w:styleId="CommentText">
    <w:name w:val="annotation text"/>
    <w:basedOn w:val="Normal"/>
    <w:link w:val="CommentTextChar"/>
    <w:uiPriority w:val="99"/>
    <w:unhideWhenUsed/>
    <w:rsid w:val="004720CC"/>
    <w:pPr>
      <w:spacing w:line="240" w:lineRule="auto"/>
    </w:pPr>
    <w:rPr>
      <w:sz w:val="20"/>
      <w:szCs w:val="20"/>
    </w:rPr>
  </w:style>
  <w:style w:type="character" w:customStyle="1" w:styleId="CommentTextChar">
    <w:name w:val="Comment Text Char"/>
    <w:basedOn w:val="DefaultParagraphFont"/>
    <w:link w:val="CommentText"/>
    <w:uiPriority w:val="99"/>
    <w:rsid w:val="004720CC"/>
    <w:rPr>
      <w:sz w:val="20"/>
      <w:szCs w:val="20"/>
    </w:rPr>
  </w:style>
  <w:style w:type="paragraph" w:styleId="CommentSubject">
    <w:name w:val="annotation subject"/>
    <w:basedOn w:val="CommentText"/>
    <w:next w:val="CommentText"/>
    <w:link w:val="CommentSubjectChar"/>
    <w:uiPriority w:val="99"/>
    <w:semiHidden/>
    <w:unhideWhenUsed/>
    <w:rsid w:val="004720CC"/>
    <w:rPr>
      <w:b/>
      <w:bCs/>
    </w:rPr>
  </w:style>
  <w:style w:type="character" w:customStyle="1" w:styleId="CommentSubjectChar">
    <w:name w:val="Comment Subject Char"/>
    <w:basedOn w:val="CommentTextChar"/>
    <w:link w:val="CommentSubject"/>
    <w:uiPriority w:val="99"/>
    <w:semiHidden/>
    <w:rsid w:val="004720CC"/>
    <w:rPr>
      <w:b/>
      <w:bCs/>
      <w:sz w:val="20"/>
      <w:szCs w:val="20"/>
    </w:rPr>
  </w:style>
  <w:style w:type="character" w:customStyle="1" w:styleId="BulletChar">
    <w:name w:val="Bullet Char"/>
    <w:link w:val="Bullet"/>
    <w:locked/>
    <w:rsid w:val="003B38AD"/>
    <w:rPr>
      <w:rFonts w:cs="Arial"/>
      <w:color w:val="003B5A"/>
      <w:sz w:val="22"/>
      <w:lang w:eastAsia="en-GB"/>
    </w:rPr>
  </w:style>
  <w:style w:type="paragraph" w:customStyle="1" w:styleId="Bullet">
    <w:name w:val="Bullet"/>
    <w:basedOn w:val="Normal"/>
    <w:link w:val="BulletChar"/>
    <w:rsid w:val="003B38AD"/>
    <w:pPr>
      <w:numPr>
        <w:numId w:val="4"/>
      </w:numPr>
      <w:spacing w:before="120" w:after="0" w:line="264" w:lineRule="auto"/>
    </w:pPr>
    <w:rPr>
      <w:rFonts w:cs="Arial"/>
      <w:color w:val="003B5A"/>
      <w:sz w:val="22"/>
      <w:lang w:eastAsia="en-GB"/>
    </w:rPr>
  </w:style>
  <w:style w:type="character" w:customStyle="1" w:styleId="NumberChar">
    <w:name w:val="Number Char"/>
    <w:link w:val="Number"/>
    <w:locked/>
    <w:rsid w:val="003B38AD"/>
    <w:rPr>
      <w:rFonts w:eastAsia="Times New Roman" w:cs="Times New Roman"/>
      <w:sz w:val="22"/>
      <w:szCs w:val="20"/>
      <w:lang w:eastAsia="en-GB"/>
    </w:rPr>
  </w:style>
  <w:style w:type="paragraph" w:customStyle="1" w:styleId="StyleNumbered">
    <w:name w:val="Style Numbered"/>
    <w:basedOn w:val="Normal"/>
    <w:autoRedefine/>
    <w:rsid w:val="003B38AD"/>
    <w:pPr>
      <w:numPr>
        <w:numId w:val="6"/>
      </w:numPr>
      <w:spacing w:before="120" w:after="120" w:line="280" w:lineRule="atLeast"/>
    </w:pPr>
    <w:rPr>
      <w:rFonts w:eastAsia="Times New Roman" w:cs="Times New Roman"/>
      <w:sz w:val="22"/>
      <w:szCs w:val="24"/>
    </w:rPr>
  </w:style>
  <w:style w:type="numbering" w:styleId="111111">
    <w:name w:val="Outline List 2"/>
    <w:basedOn w:val="NoList"/>
    <w:semiHidden/>
    <w:unhideWhenUsed/>
    <w:rsid w:val="003B38AD"/>
    <w:pPr>
      <w:numPr>
        <w:numId w:val="5"/>
      </w:numPr>
    </w:pPr>
  </w:style>
  <w:style w:type="table" w:styleId="TableGrid">
    <w:name w:val="Table Grid"/>
    <w:basedOn w:val="TableNormal"/>
    <w:uiPriority w:val="59"/>
    <w:rsid w:val="003B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F516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BF516A"/>
    <w:rPr>
      <w:vertAlign w:val="superscript"/>
    </w:rPr>
  </w:style>
  <w:style w:type="paragraph" w:customStyle="1" w:styleId="Gov4">
    <w:name w:val="Gov 4"/>
    <w:basedOn w:val="Heading4"/>
    <w:rsid w:val="00CB522C"/>
    <w:pPr>
      <w:keepLines w:val="0"/>
      <w:spacing w:before="240" w:line="240" w:lineRule="auto"/>
    </w:pPr>
    <w:rPr>
      <w:rFonts w:ascii="Arial Mäori" w:eastAsia="Times New Roman" w:hAnsi="Arial Mäori" w:cs="Times New Roman"/>
      <w:b w:val="0"/>
      <w:bCs w:val="0"/>
      <w:iCs w:val="0"/>
      <w:color w:val="auto"/>
      <w:szCs w:val="24"/>
      <w:lang w:eastAsia="en-GB"/>
    </w:rPr>
  </w:style>
  <w:style w:type="character" w:customStyle="1" w:styleId="Heading4Char">
    <w:name w:val="Heading 4 Char"/>
    <w:basedOn w:val="DefaultParagraphFont"/>
    <w:link w:val="Heading4"/>
    <w:uiPriority w:val="9"/>
    <w:semiHidden/>
    <w:rsid w:val="00CB52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8F3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AE"/>
  </w:style>
  <w:style w:type="paragraph" w:styleId="Footer">
    <w:name w:val="footer"/>
    <w:basedOn w:val="Normal"/>
    <w:link w:val="FooterChar"/>
    <w:uiPriority w:val="99"/>
    <w:unhideWhenUsed/>
    <w:rsid w:val="008F3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AE"/>
  </w:style>
  <w:style w:type="paragraph" w:customStyle="1" w:styleId="Default">
    <w:name w:val="Default"/>
    <w:rsid w:val="00B26DF1"/>
    <w:pPr>
      <w:autoSpaceDE w:val="0"/>
      <w:autoSpaceDN w:val="0"/>
      <w:adjustRightInd w:val="0"/>
      <w:spacing w:after="0" w:line="240" w:lineRule="auto"/>
    </w:pPr>
    <w:rPr>
      <w:rFonts w:ascii="Cambria" w:hAnsi="Cambria" w:cs="Cambria"/>
      <w:color w:val="000000"/>
      <w:szCs w:val="24"/>
    </w:rPr>
  </w:style>
  <w:style w:type="paragraph" w:styleId="ListBullet3">
    <w:name w:val="List Bullet 3"/>
    <w:basedOn w:val="Normal"/>
    <w:rsid w:val="000056BC"/>
    <w:pPr>
      <w:numPr>
        <w:numId w:val="26"/>
      </w:numPr>
      <w:spacing w:after="0" w:line="240" w:lineRule="auto"/>
    </w:pPr>
    <w:rPr>
      <w:rFonts w:ascii="Times New Roman" w:eastAsia="Times New Roman" w:hAnsi="Times New Roman" w:cs="Times New Roman"/>
      <w:szCs w:val="24"/>
      <w:lang w:eastAsia="en-GB"/>
    </w:rPr>
  </w:style>
  <w:style w:type="paragraph" w:styleId="NoSpacing">
    <w:name w:val="No Spacing"/>
    <w:uiPriority w:val="1"/>
    <w:qFormat/>
    <w:rsid w:val="000056BC"/>
    <w:pPr>
      <w:spacing w:after="0" w:line="240" w:lineRule="auto"/>
    </w:pPr>
  </w:style>
  <w:style w:type="table" w:styleId="LightList-Accent1">
    <w:name w:val="Light List Accent 1"/>
    <w:basedOn w:val="TableNormal"/>
    <w:uiPriority w:val="61"/>
    <w:rsid w:val="005E53E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426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44268E"/>
    <w:rPr>
      <w:i/>
      <w:iCs/>
    </w:rPr>
  </w:style>
  <w:style w:type="paragraph" w:styleId="TOC2">
    <w:name w:val="toc 2"/>
    <w:basedOn w:val="Normal"/>
    <w:next w:val="Normal"/>
    <w:autoRedefine/>
    <w:uiPriority w:val="39"/>
    <w:unhideWhenUsed/>
    <w:rsid w:val="000250C2"/>
    <w:pPr>
      <w:spacing w:after="100"/>
      <w:ind w:left="240"/>
    </w:pPr>
  </w:style>
  <w:style w:type="character" w:styleId="FollowedHyperlink">
    <w:name w:val="FollowedHyperlink"/>
    <w:basedOn w:val="DefaultParagraphFont"/>
    <w:uiPriority w:val="99"/>
    <w:semiHidden/>
    <w:unhideWhenUsed/>
    <w:rsid w:val="00C92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4295">
      <w:bodyDiv w:val="1"/>
      <w:marLeft w:val="0"/>
      <w:marRight w:val="0"/>
      <w:marTop w:val="0"/>
      <w:marBottom w:val="0"/>
      <w:divBdr>
        <w:top w:val="none" w:sz="0" w:space="0" w:color="auto"/>
        <w:left w:val="none" w:sz="0" w:space="0" w:color="auto"/>
        <w:bottom w:val="none" w:sz="0" w:space="0" w:color="auto"/>
        <w:right w:val="none" w:sz="0" w:space="0" w:color="auto"/>
      </w:divBdr>
      <w:divsChild>
        <w:div w:id="2092265941">
          <w:marLeft w:val="0"/>
          <w:marRight w:val="0"/>
          <w:marTop w:val="0"/>
          <w:marBottom w:val="0"/>
          <w:divBdr>
            <w:top w:val="none" w:sz="0" w:space="0" w:color="auto"/>
            <w:left w:val="none" w:sz="0" w:space="0" w:color="auto"/>
            <w:bottom w:val="none" w:sz="0" w:space="0" w:color="auto"/>
            <w:right w:val="none" w:sz="0" w:space="0" w:color="auto"/>
          </w:divBdr>
          <w:divsChild>
            <w:div w:id="174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9381">
      <w:bodyDiv w:val="1"/>
      <w:marLeft w:val="0"/>
      <w:marRight w:val="0"/>
      <w:marTop w:val="0"/>
      <w:marBottom w:val="0"/>
      <w:divBdr>
        <w:top w:val="none" w:sz="0" w:space="0" w:color="auto"/>
        <w:left w:val="none" w:sz="0" w:space="0" w:color="auto"/>
        <w:bottom w:val="none" w:sz="0" w:space="0" w:color="auto"/>
        <w:right w:val="none" w:sz="0" w:space="0" w:color="auto"/>
      </w:divBdr>
    </w:div>
    <w:div w:id="887299503">
      <w:bodyDiv w:val="1"/>
      <w:marLeft w:val="0"/>
      <w:marRight w:val="0"/>
      <w:marTop w:val="0"/>
      <w:marBottom w:val="0"/>
      <w:divBdr>
        <w:top w:val="none" w:sz="0" w:space="0" w:color="auto"/>
        <w:left w:val="none" w:sz="0" w:space="0" w:color="auto"/>
        <w:bottom w:val="none" w:sz="0" w:space="0" w:color="auto"/>
        <w:right w:val="none" w:sz="0" w:space="0" w:color="auto"/>
      </w:divBdr>
    </w:div>
    <w:div w:id="1202480663">
      <w:bodyDiv w:val="1"/>
      <w:marLeft w:val="0"/>
      <w:marRight w:val="0"/>
      <w:marTop w:val="0"/>
      <w:marBottom w:val="0"/>
      <w:divBdr>
        <w:top w:val="none" w:sz="0" w:space="0" w:color="auto"/>
        <w:left w:val="none" w:sz="0" w:space="0" w:color="auto"/>
        <w:bottom w:val="none" w:sz="0" w:space="0" w:color="auto"/>
        <w:right w:val="none" w:sz="0" w:space="0" w:color="auto"/>
      </w:divBdr>
    </w:div>
    <w:div w:id="16704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ac@moh.govt.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ac.health.govt.nz/consult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ngahau.co.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eac@moh.govt.n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rc.govt.nz/sites/default/files/Guidelines%20for%20HR%20on%20Maori-%20Jul10%20revised%20for%20Te%20Ara%20Tika%20v2%20FINAL%5b1%5d.pdf" TargetMode="External"/><Relationship Id="rId2" Type="http://schemas.openxmlformats.org/officeDocument/2006/relationships/hyperlink" Target="http://www.hra.nhs.uk/research-community/" TargetMode="External"/><Relationship Id="rId1" Type="http://schemas.openxmlformats.org/officeDocument/2006/relationships/hyperlink" Target="http://www.hrc.govt.nz/ethics-and-regulatory/applying-ethical-approval" TargetMode="External"/><Relationship Id="rId6" Type="http://schemas.openxmlformats.org/officeDocument/2006/relationships/hyperlink" Target="http://www.nhmrc.gov.au/_files_nhmrc/publications/attachments/e46.pdf" TargetMode="External"/><Relationship Id="rId5" Type="http://schemas.openxmlformats.org/officeDocument/2006/relationships/hyperlink" Target="http://ethics.health.govt.nz/" TargetMode="External"/><Relationship Id="rId4" Type="http://schemas.openxmlformats.org/officeDocument/2006/relationships/hyperlink" Target="http://www.hrc.govt.nz/sites/default/files/Ethics%20Guidelines%20Oct%202005%20-%20under%20review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262A-9172-4086-9AC6-890FD992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11441</Words>
  <Characters>65217</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1</cp:revision>
  <cp:lastPrinted>2014-09-18T02:12:00Z</cp:lastPrinted>
  <dcterms:created xsi:type="dcterms:W3CDTF">2014-12-22T20:46:00Z</dcterms:created>
  <dcterms:modified xsi:type="dcterms:W3CDTF">2014-12-22T20:46:00Z</dcterms:modified>
</cp:coreProperties>
</file>