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118" w:rsidRDefault="006C6F49" w:rsidP="00615118">
      <w:pPr>
        <w:jc w:val="center"/>
      </w:pPr>
      <w:r>
        <w:object w:dxaOrig="22722" w:dyaOrig="9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AC logo" style="width:152.25pt;height:64.5pt;mso-position-horizontal:absolute" o:ole="">
            <v:imagedata r:id="rId9" o:title=""/>
          </v:shape>
          <o:OLEObject Type="Embed" ProgID="MSPhotoEd.3" ShapeID="_x0000_i1025" DrawAspect="Content" ObjectID="_1492420270" r:id="rId10"/>
        </w:object>
      </w:r>
    </w:p>
    <w:p w:rsidR="00615118" w:rsidRPr="00615118" w:rsidRDefault="00615118" w:rsidP="00615118">
      <w:pPr>
        <w:spacing w:after="0"/>
        <w:jc w:val="center"/>
        <w:rPr>
          <w:rFonts w:cs="Arial"/>
          <w:b/>
          <w:sz w:val="16"/>
          <w:szCs w:val="16"/>
        </w:rPr>
      </w:pPr>
    </w:p>
    <w:p w:rsidR="00F3363A" w:rsidRPr="00FE79BC" w:rsidRDefault="003852D2" w:rsidP="00FE79BC">
      <w:pPr>
        <w:pStyle w:val="Title"/>
      </w:pPr>
      <w:r w:rsidRPr="00FE79BC">
        <w:t xml:space="preserve">ETHICAL ISSUES </w:t>
      </w:r>
      <w:r w:rsidR="004629E1" w:rsidRPr="00FE79BC">
        <w:t>relating to access to organ transplantation</w:t>
      </w:r>
      <w:r w:rsidRPr="00FE79BC">
        <w:t xml:space="preserve">: NEAC REPORT TO THE </w:t>
      </w:r>
      <w:r w:rsidR="000B753A" w:rsidRPr="00FE79BC">
        <w:t xml:space="preserve">ASSOCIATE </w:t>
      </w:r>
      <w:r w:rsidRPr="00FE79BC">
        <w:t xml:space="preserve">MINISTER OF HEALTH, </w:t>
      </w:r>
      <w:r w:rsidR="00615118" w:rsidRPr="00FE79BC">
        <w:t>20</w:t>
      </w:r>
      <w:r w:rsidR="002E724B" w:rsidRPr="00FE79BC">
        <w:t xml:space="preserve"> January</w:t>
      </w:r>
      <w:r w:rsidR="00745A87" w:rsidRPr="00FE79BC">
        <w:t xml:space="preserve"> 2015</w:t>
      </w:r>
    </w:p>
    <w:p w:rsidR="00706DFA" w:rsidRPr="00A5006E" w:rsidRDefault="00706DFA" w:rsidP="006C6F49">
      <w:pPr>
        <w:pStyle w:val="Heading1"/>
      </w:pPr>
      <w:r w:rsidRPr="00A5006E">
        <w:t xml:space="preserve">Executive </w:t>
      </w:r>
      <w:r w:rsidRPr="006C6F49">
        <w:t>su</w:t>
      </w:r>
      <w:bookmarkStart w:id="0" w:name="_GoBack"/>
      <w:bookmarkEnd w:id="0"/>
      <w:r w:rsidRPr="006C6F49">
        <w:t>mmary</w:t>
      </w:r>
    </w:p>
    <w:p w:rsidR="009B2C96" w:rsidRPr="006A21EF" w:rsidRDefault="00410680" w:rsidP="009B2C96">
      <w:pPr>
        <w:numPr>
          <w:ilvl w:val="0"/>
          <w:numId w:val="2"/>
        </w:numPr>
        <w:tabs>
          <w:tab w:val="num" w:pos="540"/>
          <w:tab w:val="num" w:pos="570"/>
        </w:tabs>
        <w:spacing w:before="240" w:after="240"/>
        <w:ind w:left="570" w:hanging="570"/>
        <w:rPr>
          <w:rFonts w:cs="Arial"/>
          <w:b/>
          <w:szCs w:val="24"/>
        </w:rPr>
      </w:pPr>
      <w:r w:rsidRPr="006A21EF">
        <w:rPr>
          <w:rFonts w:cs="Arial"/>
          <w:szCs w:val="24"/>
        </w:rPr>
        <w:t xml:space="preserve">The </w:t>
      </w:r>
      <w:r w:rsidR="0052620C" w:rsidRPr="006A21EF">
        <w:t>National Advisory Committee on Health and Disability Support Services Ethics</w:t>
      </w:r>
      <w:r w:rsidR="0052620C" w:rsidRPr="006A21EF" w:rsidDel="000600AF">
        <w:t xml:space="preserve"> </w:t>
      </w:r>
      <w:r w:rsidR="0052620C" w:rsidRPr="006A21EF">
        <w:t xml:space="preserve">(NEAC) </w:t>
      </w:r>
      <w:r w:rsidR="0052620C" w:rsidRPr="006A21EF">
        <w:rPr>
          <w:rFonts w:cs="Arial"/>
          <w:szCs w:val="24"/>
        </w:rPr>
        <w:t xml:space="preserve">has undertaken </w:t>
      </w:r>
      <w:r w:rsidR="004629E1" w:rsidRPr="006A21EF">
        <w:rPr>
          <w:rFonts w:cs="Arial"/>
          <w:szCs w:val="24"/>
        </w:rPr>
        <w:t>work on access to organ transplantation</w:t>
      </w:r>
      <w:r w:rsidR="0052620C" w:rsidRPr="006A21EF">
        <w:rPr>
          <w:rFonts w:cs="Arial"/>
          <w:szCs w:val="24"/>
        </w:rPr>
        <w:t xml:space="preserve">. </w:t>
      </w:r>
      <w:r w:rsidR="00A1404E" w:rsidRPr="006A21EF">
        <w:rPr>
          <w:rFonts w:cs="Arial"/>
          <w:szCs w:val="24"/>
        </w:rPr>
        <w:t>Organ transplants save lives and</w:t>
      </w:r>
      <w:r w:rsidR="00615118" w:rsidRPr="006A21EF">
        <w:rPr>
          <w:rFonts w:cs="Arial"/>
          <w:szCs w:val="24"/>
        </w:rPr>
        <w:t xml:space="preserve"> significantly </w:t>
      </w:r>
      <w:r w:rsidR="00A1404E" w:rsidRPr="006A21EF">
        <w:rPr>
          <w:rFonts w:cs="Arial"/>
          <w:szCs w:val="24"/>
        </w:rPr>
        <w:t>improve health</w:t>
      </w:r>
      <w:r w:rsidR="00615118" w:rsidRPr="006A21EF">
        <w:rPr>
          <w:rFonts w:cs="Arial"/>
          <w:szCs w:val="24"/>
        </w:rPr>
        <w:t xml:space="preserve"> outcomes</w:t>
      </w:r>
      <w:r w:rsidR="00A1404E" w:rsidRPr="006A21EF">
        <w:rPr>
          <w:rFonts w:cs="Arial"/>
          <w:szCs w:val="24"/>
        </w:rPr>
        <w:t xml:space="preserve"> but there are not enough organs for everyone who needs one. It is essential that the processes for determining who receives an organ are fair, transparent and robust. </w:t>
      </w:r>
    </w:p>
    <w:p w:rsidR="00FC6E4F" w:rsidRPr="00615118" w:rsidRDefault="00615118" w:rsidP="00114E07">
      <w:pPr>
        <w:numPr>
          <w:ilvl w:val="0"/>
          <w:numId w:val="2"/>
        </w:numPr>
        <w:tabs>
          <w:tab w:val="num" w:pos="540"/>
          <w:tab w:val="num" w:pos="570"/>
        </w:tabs>
        <w:spacing w:before="240" w:after="240"/>
        <w:ind w:left="570" w:hanging="570"/>
        <w:rPr>
          <w:rFonts w:cs="Arial"/>
          <w:szCs w:val="24"/>
        </w:rPr>
      </w:pPr>
      <w:r>
        <w:rPr>
          <w:rFonts w:cs="Arial"/>
          <w:szCs w:val="24"/>
        </w:rPr>
        <w:t>NEAC’s work has explored the p</w:t>
      </w:r>
      <w:r w:rsidR="00811201" w:rsidRPr="00A5006E">
        <w:rPr>
          <w:rFonts w:cs="Arial"/>
          <w:szCs w:val="24"/>
        </w:rPr>
        <w:t>rocesses for referrals, being placed on the deceased donor waiting list and deciding who receives an organ when one becomes available.</w:t>
      </w:r>
      <w:r>
        <w:rPr>
          <w:rFonts w:cs="Arial"/>
          <w:szCs w:val="24"/>
        </w:rPr>
        <w:t xml:space="preserve"> </w:t>
      </w:r>
    </w:p>
    <w:p w:rsidR="00FC6E4F" w:rsidRPr="00A5006E" w:rsidRDefault="00615118" w:rsidP="00114E07">
      <w:pPr>
        <w:numPr>
          <w:ilvl w:val="0"/>
          <w:numId w:val="2"/>
        </w:numPr>
        <w:tabs>
          <w:tab w:val="num" w:pos="540"/>
          <w:tab w:val="num" w:pos="570"/>
        </w:tabs>
        <w:spacing w:before="240" w:after="120"/>
        <w:ind w:left="573" w:hanging="573"/>
        <w:rPr>
          <w:rFonts w:cs="Arial"/>
          <w:color w:val="000000"/>
          <w:szCs w:val="24"/>
        </w:rPr>
      </w:pPr>
      <w:r>
        <w:rPr>
          <w:rFonts w:cs="Arial"/>
          <w:szCs w:val="24"/>
        </w:rPr>
        <w:t>We have identified issues associated with:</w:t>
      </w:r>
    </w:p>
    <w:p w:rsidR="00FC6E4F" w:rsidRPr="00A5006E" w:rsidRDefault="00615118" w:rsidP="0052620C">
      <w:pPr>
        <w:pStyle w:val="ListParagraph"/>
        <w:numPr>
          <w:ilvl w:val="2"/>
          <w:numId w:val="2"/>
        </w:numPr>
        <w:spacing w:after="120"/>
        <w:ind w:left="1225" w:hanging="505"/>
        <w:contextualSpacing w:val="0"/>
        <w:rPr>
          <w:rFonts w:cs="Arial"/>
          <w:szCs w:val="24"/>
        </w:rPr>
      </w:pPr>
      <w:r>
        <w:rPr>
          <w:rFonts w:cs="Arial"/>
          <w:szCs w:val="24"/>
        </w:rPr>
        <w:t xml:space="preserve">equity of </w:t>
      </w:r>
      <w:r w:rsidR="00FC6E4F" w:rsidRPr="00A5006E">
        <w:rPr>
          <w:rFonts w:cs="Arial"/>
          <w:szCs w:val="24"/>
        </w:rPr>
        <w:t xml:space="preserve">access </w:t>
      </w:r>
      <w:r w:rsidR="004629E1">
        <w:rPr>
          <w:rFonts w:cs="Arial"/>
          <w:szCs w:val="24"/>
        </w:rPr>
        <w:t>to transplantation (both living and deceased donor operations)</w:t>
      </w:r>
    </w:p>
    <w:p w:rsidR="00FC6E4F" w:rsidRPr="000B753A" w:rsidRDefault="00315A19" w:rsidP="0052620C">
      <w:pPr>
        <w:pStyle w:val="ListParagraph"/>
        <w:numPr>
          <w:ilvl w:val="2"/>
          <w:numId w:val="2"/>
        </w:numPr>
        <w:spacing w:after="120"/>
        <w:ind w:left="1225" w:hanging="505"/>
        <w:contextualSpacing w:val="0"/>
        <w:rPr>
          <w:rFonts w:cs="Arial"/>
          <w:szCs w:val="24"/>
        </w:rPr>
      </w:pPr>
      <w:r w:rsidRPr="000B753A">
        <w:rPr>
          <w:rFonts w:cs="Arial"/>
          <w:szCs w:val="24"/>
        </w:rPr>
        <w:t xml:space="preserve">application of ethical principles </w:t>
      </w:r>
      <w:r w:rsidR="00410680">
        <w:rPr>
          <w:rFonts w:cs="Arial"/>
          <w:szCs w:val="24"/>
        </w:rPr>
        <w:t xml:space="preserve">to the processes for </w:t>
      </w:r>
      <w:r w:rsidRPr="000B753A">
        <w:rPr>
          <w:rFonts w:cs="Arial"/>
          <w:szCs w:val="24"/>
        </w:rPr>
        <w:t xml:space="preserve">listing patients and allocating deceased </w:t>
      </w:r>
      <w:r w:rsidR="004629E1" w:rsidRPr="000B753A">
        <w:rPr>
          <w:rFonts w:cs="Arial"/>
          <w:szCs w:val="24"/>
        </w:rPr>
        <w:t xml:space="preserve">donor </w:t>
      </w:r>
      <w:r w:rsidR="00FC6E4F" w:rsidRPr="000B753A">
        <w:rPr>
          <w:rFonts w:cs="Arial"/>
          <w:szCs w:val="24"/>
        </w:rPr>
        <w:t>organs</w:t>
      </w:r>
    </w:p>
    <w:p w:rsidR="00FC6E4F" w:rsidRPr="00A5006E" w:rsidRDefault="00DB03F4" w:rsidP="0052620C">
      <w:pPr>
        <w:pStyle w:val="ListParagraph"/>
        <w:numPr>
          <w:ilvl w:val="2"/>
          <w:numId w:val="2"/>
        </w:numPr>
        <w:spacing w:after="120"/>
        <w:ind w:left="1225" w:hanging="505"/>
        <w:contextualSpacing w:val="0"/>
        <w:rPr>
          <w:rFonts w:cs="Arial"/>
          <w:szCs w:val="24"/>
        </w:rPr>
      </w:pPr>
      <w:proofErr w:type="gramStart"/>
      <w:r w:rsidRPr="00A5006E">
        <w:rPr>
          <w:rFonts w:cs="Arial"/>
          <w:szCs w:val="24"/>
        </w:rPr>
        <w:t>deceased</w:t>
      </w:r>
      <w:proofErr w:type="gramEnd"/>
      <w:r w:rsidRPr="00A5006E">
        <w:rPr>
          <w:rFonts w:cs="Arial"/>
          <w:szCs w:val="24"/>
        </w:rPr>
        <w:t xml:space="preserve"> donor list numbers</w:t>
      </w:r>
      <w:r w:rsidR="00615118">
        <w:rPr>
          <w:rFonts w:cs="Arial"/>
          <w:szCs w:val="24"/>
        </w:rPr>
        <w:t xml:space="preserve"> for kidney transplants</w:t>
      </w:r>
      <w:r w:rsidRPr="00A5006E">
        <w:rPr>
          <w:rFonts w:cs="Arial"/>
          <w:szCs w:val="24"/>
        </w:rPr>
        <w:t>.</w:t>
      </w:r>
    </w:p>
    <w:p w:rsidR="00615118" w:rsidRPr="00615118" w:rsidRDefault="00615118" w:rsidP="00615118">
      <w:pPr>
        <w:numPr>
          <w:ilvl w:val="0"/>
          <w:numId w:val="2"/>
        </w:numPr>
        <w:tabs>
          <w:tab w:val="num" w:pos="540"/>
          <w:tab w:val="num" w:pos="570"/>
        </w:tabs>
        <w:spacing w:before="240" w:after="120"/>
        <w:ind w:left="573" w:hanging="573"/>
        <w:rPr>
          <w:rFonts w:cs="Arial"/>
          <w:color w:val="000000"/>
          <w:szCs w:val="24"/>
        </w:rPr>
      </w:pPr>
      <w:r w:rsidRPr="00A5006E">
        <w:rPr>
          <w:rFonts w:cs="Arial"/>
          <w:szCs w:val="24"/>
        </w:rPr>
        <w:t>NEAC</w:t>
      </w:r>
      <w:r>
        <w:rPr>
          <w:rFonts w:cs="Arial"/>
          <w:szCs w:val="24"/>
        </w:rPr>
        <w:t xml:space="preserve"> recommends that you:</w:t>
      </w:r>
    </w:p>
    <w:p w:rsidR="00615118" w:rsidRDefault="00615118" w:rsidP="00615118">
      <w:pPr>
        <w:pStyle w:val="ListParagraph"/>
        <w:numPr>
          <w:ilvl w:val="2"/>
          <w:numId w:val="2"/>
        </w:numPr>
        <w:spacing w:after="120"/>
        <w:ind w:left="1225" w:hanging="505"/>
        <w:contextualSpacing w:val="0"/>
        <w:rPr>
          <w:rFonts w:cs="Arial"/>
          <w:szCs w:val="24"/>
        </w:rPr>
      </w:pPr>
      <w:r>
        <w:rPr>
          <w:rFonts w:cs="Arial"/>
          <w:szCs w:val="24"/>
        </w:rPr>
        <w:t xml:space="preserve">direct the Ministry of Health to lead work </w:t>
      </w:r>
      <w:r w:rsidRPr="00A5006E">
        <w:rPr>
          <w:rFonts w:cs="Arial"/>
          <w:szCs w:val="24"/>
        </w:rPr>
        <w:t xml:space="preserve">to better understand the </w:t>
      </w:r>
      <w:r w:rsidR="00886F8E">
        <w:rPr>
          <w:rFonts w:cs="Arial"/>
          <w:szCs w:val="24"/>
        </w:rPr>
        <w:t xml:space="preserve">clinical and non-clinical </w:t>
      </w:r>
      <w:r w:rsidRPr="00A5006E">
        <w:rPr>
          <w:rFonts w:cs="Arial"/>
          <w:szCs w:val="24"/>
        </w:rPr>
        <w:t>factors that influence patient access</w:t>
      </w:r>
      <w:r>
        <w:rPr>
          <w:rFonts w:cs="Arial"/>
          <w:szCs w:val="24"/>
        </w:rPr>
        <w:t xml:space="preserve"> to transplants</w:t>
      </w:r>
    </w:p>
    <w:p w:rsidR="00A2669C" w:rsidRDefault="00A2669C" w:rsidP="00A2669C">
      <w:pPr>
        <w:pStyle w:val="ListParagraph"/>
        <w:numPr>
          <w:ilvl w:val="2"/>
          <w:numId w:val="2"/>
        </w:numPr>
        <w:spacing w:after="120"/>
        <w:ind w:left="1225" w:hanging="505"/>
        <w:contextualSpacing w:val="0"/>
        <w:rPr>
          <w:rFonts w:cs="Arial"/>
          <w:szCs w:val="24"/>
        </w:rPr>
      </w:pPr>
      <w:r>
        <w:rPr>
          <w:rFonts w:cs="Arial"/>
          <w:szCs w:val="24"/>
        </w:rPr>
        <w:t xml:space="preserve">agree that NEAC lead work on how </w:t>
      </w:r>
      <w:r w:rsidRPr="000B753A">
        <w:rPr>
          <w:rFonts w:cs="Arial"/>
          <w:szCs w:val="24"/>
        </w:rPr>
        <w:t xml:space="preserve">ethical principles are given effect through the </w:t>
      </w:r>
      <w:r>
        <w:rPr>
          <w:rFonts w:cs="Arial"/>
          <w:szCs w:val="24"/>
        </w:rPr>
        <w:t xml:space="preserve">decision-making processes for deceased donor transplants, following completion of the Australian National Health and Medical Research Council’s work on </w:t>
      </w:r>
      <w:r w:rsidRPr="000374A2">
        <w:rPr>
          <w:rFonts w:eastAsia="Times New Roman" w:cs="Arial"/>
          <w:i/>
        </w:rPr>
        <w:t>Ethical Guidelines for Eligibility Criteria and Allocation Protocols for Organ Transplantation from Deceased Donors</w:t>
      </w:r>
    </w:p>
    <w:p w:rsidR="00615118" w:rsidRDefault="00615118" w:rsidP="00615118">
      <w:pPr>
        <w:pStyle w:val="ListParagraph"/>
        <w:numPr>
          <w:ilvl w:val="2"/>
          <w:numId w:val="2"/>
        </w:numPr>
        <w:spacing w:after="120"/>
        <w:ind w:left="1225" w:hanging="505"/>
        <w:contextualSpacing w:val="0"/>
        <w:rPr>
          <w:rFonts w:cs="Arial"/>
          <w:szCs w:val="24"/>
        </w:rPr>
      </w:pPr>
      <w:r>
        <w:rPr>
          <w:rFonts w:cs="Arial"/>
          <w:szCs w:val="24"/>
        </w:rPr>
        <w:t xml:space="preserve">direct the Ministry of Health to advise how best to progress work </w:t>
      </w:r>
      <w:r w:rsidRPr="00A5006E">
        <w:rPr>
          <w:rFonts w:cs="Arial"/>
          <w:szCs w:val="24"/>
        </w:rPr>
        <w:t xml:space="preserve">on the way waiting lists for </w:t>
      </w:r>
      <w:r>
        <w:rPr>
          <w:rFonts w:cs="Arial"/>
          <w:szCs w:val="24"/>
        </w:rPr>
        <w:t>kidneys</w:t>
      </w:r>
      <w:r w:rsidRPr="00A5006E">
        <w:rPr>
          <w:rFonts w:cs="Arial"/>
          <w:szCs w:val="24"/>
        </w:rPr>
        <w:t xml:space="preserve"> are managed and the ethical implications of </w:t>
      </w:r>
      <w:r w:rsidR="006A21EF">
        <w:rPr>
          <w:rFonts w:cs="Arial"/>
          <w:szCs w:val="24"/>
        </w:rPr>
        <w:t xml:space="preserve">the possible problem of </w:t>
      </w:r>
      <w:r w:rsidRPr="00A5006E">
        <w:rPr>
          <w:rFonts w:cs="Arial"/>
          <w:szCs w:val="24"/>
        </w:rPr>
        <w:t>‘false hope’</w:t>
      </w:r>
    </w:p>
    <w:p w:rsidR="00615118" w:rsidRDefault="00615118" w:rsidP="00615118">
      <w:pPr>
        <w:pStyle w:val="ListParagraph"/>
        <w:numPr>
          <w:ilvl w:val="2"/>
          <w:numId w:val="2"/>
        </w:numPr>
        <w:spacing w:after="120"/>
        <w:ind w:left="1225" w:hanging="505"/>
        <w:contextualSpacing w:val="0"/>
        <w:rPr>
          <w:rFonts w:cs="Arial"/>
          <w:szCs w:val="24"/>
        </w:rPr>
      </w:pPr>
      <w:proofErr w:type="gramStart"/>
      <w:r>
        <w:rPr>
          <w:rFonts w:cs="Arial"/>
          <w:szCs w:val="24"/>
        </w:rPr>
        <w:t>agree</w:t>
      </w:r>
      <w:proofErr w:type="gramEnd"/>
      <w:r>
        <w:rPr>
          <w:rFonts w:cs="Arial"/>
          <w:szCs w:val="24"/>
        </w:rPr>
        <w:t xml:space="preserve"> that any future work should involve </w:t>
      </w:r>
      <w:r w:rsidRPr="00A5006E">
        <w:rPr>
          <w:rFonts w:cs="Arial"/>
          <w:szCs w:val="24"/>
        </w:rPr>
        <w:t>patients, health sector stakeholders and the wider public</w:t>
      </w:r>
      <w:r>
        <w:rPr>
          <w:rFonts w:cs="Arial"/>
          <w:szCs w:val="24"/>
        </w:rPr>
        <w:t>.</w:t>
      </w:r>
    </w:p>
    <w:p w:rsidR="0099098D" w:rsidRPr="00A5006E" w:rsidRDefault="0099098D" w:rsidP="006C6F49">
      <w:pPr>
        <w:pStyle w:val="Heading1"/>
      </w:pPr>
      <w:r w:rsidRPr="00A5006E">
        <w:lastRenderedPageBreak/>
        <w:t>Background</w:t>
      </w:r>
    </w:p>
    <w:p w:rsidR="00BC44FF" w:rsidRPr="00A5006E" w:rsidRDefault="00BC44FF" w:rsidP="00114E07">
      <w:pPr>
        <w:tabs>
          <w:tab w:val="num" w:pos="1163"/>
        </w:tabs>
        <w:spacing w:before="240" w:after="240"/>
        <w:rPr>
          <w:rFonts w:cs="Arial"/>
          <w:i/>
          <w:szCs w:val="24"/>
        </w:rPr>
      </w:pPr>
      <w:r w:rsidRPr="00A5006E">
        <w:rPr>
          <w:rFonts w:cs="Arial"/>
          <w:i/>
          <w:szCs w:val="24"/>
        </w:rPr>
        <w:t xml:space="preserve">NEAC’s work on </w:t>
      </w:r>
      <w:r w:rsidR="004629E1">
        <w:rPr>
          <w:rFonts w:cs="Arial"/>
          <w:i/>
          <w:szCs w:val="24"/>
        </w:rPr>
        <w:t xml:space="preserve">access to </w:t>
      </w:r>
      <w:r w:rsidRPr="00A5006E">
        <w:rPr>
          <w:rFonts w:cs="Arial"/>
          <w:i/>
          <w:szCs w:val="24"/>
        </w:rPr>
        <w:t xml:space="preserve">organ </w:t>
      </w:r>
      <w:r w:rsidR="004629E1">
        <w:rPr>
          <w:rFonts w:cs="Arial"/>
          <w:i/>
          <w:szCs w:val="24"/>
        </w:rPr>
        <w:t>transplantation</w:t>
      </w:r>
    </w:p>
    <w:p w:rsidR="0099098D" w:rsidRPr="006A21EF" w:rsidRDefault="00A1404E" w:rsidP="00114E07">
      <w:pPr>
        <w:numPr>
          <w:ilvl w:val="0"/>
          <w:numId w:val="2"/>
        </w:numPr>
        <w:tabs>
          <w:tab w:val="num" w:pos="540"/>
          <w:tab w:val="num" w:pos="570"/>
        </w:tabs>
        <w:spacing w:before="240" w:after="240"/>
        <w:ind w:left="570" w:hanging="570"/>
        <w:rPr>
          <w:rFonts w:cs="Arial"/>
          <w:szCs w:val="24"/>
        </w:rPr>
      </w:pPr>
      <w:r w:rsidRPr="006A21EF">
        <w:rPr>
          <w:rFonts w:cs="Arial"/>
          <w:szCs w:val="24"/>
        </w:rPr>
        <w:t>In April 2013, NEAC commenced work on the ethical issues associated with access to organ transplantation</w:t>
      </w:r>
      <w:r w:rsidR="00304BEA" w:rsidRPr="006A21EF">
        <w:rPr>
          <w:rFonts w:cs="Arial"/>
          <w:szCs w:val="24"/>
        </w:rPr>
        <w:t xml:space="preserve"> (</w:t>
      </w:r>
      <w:r w:rsidR="00304BEA" w:rsidRPr="006A21EF">
        <w:rPr>
          <w:rFonts w:cs="Arial"/>
          <w:color w:val="000000"/>
          <w:szCs w:val="24"/>
        </w:rPr>
        <w:t>involving organs from living and deceased donors)</w:t>
      </w:r>
      <w:r w:rsidRPr="006A21EF">
        <w:rPr>
          <w:rFonts w:cs="Arial"/>
          <w:szCs w:val="24"/>
        </w:rPr>
        <w:t xml:space="preserve">. </w:t>
      </w:r>
      <w:r w:rsidR="006C6A5A" w:rsidRPr="006A21EF">
        <w:rPr>
          <w:rFonts w:cs="Arial"/>
          <w:szCs w:val="24"/>
        </w:rPr>
        <w:t xml:space="preserve">Organ transplants save lives and significantly improve health outcomes but there are not enough organs for everyone who needs one. Given this, NEAC </w:t>
      </w:r>
      <w:r w:rsidR="008F7B5B" w:rsidRPr="006A21EF">
        <w:rPr>
          <w:rFonts w:cs="Arial"/>
          <w:szCs w:val="24"/>
        </w:rPr>
        <w:t>consider</w:t>
      </w:r>
      <w:r w:rsidR="00304BEA" w:rsidRPr="006A21EF">
        <w:rPr>
          <w:rFonts w:cs="Arial"/>
          <w:szCs w:val="24"/>
        </w:rPr>
        <w:t>ed</w:t>
      </w:r>
      <w:r w:rsidR="008F7B5B" w:rsidRPr="006A21EF">
        <w:rPr>
          <w:rFonts w:cs="Arial"/>
          <w:szCs w:val="24"/>
        </w:rPr>
        <w:t xml:space="preserve"> </w:t>
      </w:r>
      <w:r w:rsidR="006C6A5A" w:rsidRPr="006A21EF">
        <w:rPr>
          <w:rFonts w:cs="Arial"/>
          <w:szCs w:val="24"/>
        </w:rPr>
        <w:t xml:space="preserve">that it was important to review the processes for determining who receives an organ and assess whether they were fair, transparent and robust. </w:t>
      </w:r>
    </w:p>
    <w:p w:rsidR="00304BEA" w:rsidRPr="006A21EF" w:rsidRDefault="0099656E" w:rsidP="00304BEA">
      <w:pPr>
        <w:numPr>
          <w:ilvl w:val="0"/>
          <w:numId w:val="2"/>
        </w:numPr>
        <w:tabs>
          <w:tab w:val="num" w:pos="540"/>
          <w:tab w:val="num" w:pos="570"/>
        </w:tabs>
        <w:spacing w:before="240" w:after="120"/>
        <w:ind w:left="573" w:hanging="573"/>
        <w:rPr>
          <w:rFonts w:cs="Arial"/>
          <w:color w:val="000000"/>
          <w:szCs w:val="24"/>
        </w:rPr>
      </w:pPr>
      <w:r w:rsidRPr="006A21EF">
        <w:rPr>
          <w:rFonts w:cs="Arial"/>
          <w:color w:val="000000"/>
          <w:szCs w:val="24"/>
        </w:rPr>
        <w:t xml:space="preserve">NEAC met with several transplant units and other interested parties to discuss current processes for deciding who gets an organ and </w:t>
      </w:r>
      <w:r w:rsidR="002375E3" w:rsidRPr="006A21EF">
        <w:rPr>
          <w:rFonts w:cs="Arial"/>
          <w:color w:val="000000"/>
          <w:szCs w:val="24"/>
        </w:rPr>
        <w:t xml:space="preserve">identify any </w:t>
      </w:r>
      <w:r w:rsidRPr="006A21EF">
        <w:rPr>
          <w:rFonts w:cs="Arial"/>
          <w:color w:val="000000"/>
          <w:szCs w:val="24"/>
        </w:rPr>
        <w:t xml:space="preserve">associated issues (see </w:t>
      </w:r>
      <w:r w:rsidR="006C6A5A" w:rsidRPr="006A21EF">
        <w:rPr>
          <w:rFonts w:cs="Arial"/>
          <w:color w:val="000000"/>
          <w:szCs w:val="24"/>
        </w:rPr>
        <w:t>A</w:t>
      </w:r>
      <w:r w:rsidRPr="006A21EF">
        <w:rPr>
          <w:rFonts w:cs="Arial"/>
          <w:color w:val="000000"/>
          <w:szCs w:val="24"/>
        </w:rPr>
        <w:t xml:space="preserve">ppendix </w:t>
      </w:r>
      <w:r w:rsidR="006C6A5A" w:rsidRPr="006A21EF">
        <w:rPr>
          <w:rFonts w:cs="Arial"/>
          <w:color w:val="000000"/>
          <w:szCs w:val="24"/>
        </w:rPr>
        <w:t>1</w:t>
      </w:r>
      <w:r w:rsidRPr="006A21EF">
        <w:rPr>
          <w:rFonts w:cs="Arial"/>
          <w:color w:val="000000"/>
          <w:szCs w:val="24"/>
        </w:rPr>
        <w:t xml:space="preserve"> for </w:t>
      </w:r>
      <w:r w:rsidR="00F3363A" w:rsidRPr="006A21EF">
        <w:rPr>
          <w:rFonts w:cs="Arial"/>
          <w:color w:val="000000"/>
          <w:szCs w:val="24"/>
        </w:rPr>
        <w:t xml:space="preserve">a </w:t>
      </w:r>
      <w:r w:rsidRPr="006A21EF">
        <w:rPr>
          <w:rFonts w:cs="Arial"/>
          <w:color w:val="000000"/>
          <w:szCs w:val="24"/>
        </w:rPr>
        <w:t>list</w:t>
      </w:r>
      <w:r w:rsidR="00F3363A" w:rsidRPr="006A21EF">
        <w:rPr>
          <w:rFonts w:cs="Arial"/>
          <w:color w:val="000000"/>
          <w:szCs w:val="24"/>
        </w:rPr>
        <w:t xml:space="preserve"> of those consulted</w:t>
      </w:r>
      <w:r w:rsidRPr="006A21EF">
        <w:rPr>
          <w:rFonts w:cs="Arial"/>
          <w:color w:val="000000"/>
          <w:szCs w:val="24"/>
        </w:rPr>
        <w:t>).</w:t>
      </w:r>
      <w:r w:rsidR="004629E1" w:rsidRPr="006A21EF">
        <w:rPr>
          <w:rFonts w:cs="Arial"/>
          <w:color w:val="000000"/>
          <w:szCs w:val="24"/>
        </w:rPr>
        <w:t xml:space="preserve"> </w:t>
      </w:r>
      <w:r w:rsidR="00306E3F">
        <w:rPr>
          <w:rFonts w:cs="Arial"/>
          <w:color w:val="000000"/>
          <w:szCs w:val="24"/>
        </w:rPr>
        <w:t xml:space="preserve">We were particularly interested in the </w:t>
      </w:r>
      <w:r w:rsidR="00304BEA" w:rsidRPr="006A21EF">
        <w:rPr>
          <w:rFonts w:cs="Arial"/>
          <w:color w:val="000000"/>
          <w:szCs w:val="24"/>
        </w:rPr>
        <w:t xml:space="preserve">processes for: </w:t>
      </w:r>
    </w:p>
    <w:p w:rsidR="00304BEA" w:rsidRPr="006A21EF" w:rsidRDefault="00304BEA" w:rsidP="00304BEA">
      <w:pPr>
        <w:pStyle w:val="ListParagraph"/>
        <w:numPr>
          <w:ilvl w:val="0"/>
          <w:numId w:val="4"/>
        </w:numPr>
        <w:spacing w:after="60" w:line="240" w:lineRule="auto"/>
        <w:ind w:left="1134" w:hanging="567"/>
        <w:contextualSpacing w:val="0"/>
        <w:rPr>
          <w:rFonts w:eastAsia="Times New Roman" w:cs="Arial"/>
          <w:szCs w:val="24"/>
        </w:rPr>
      </w:pPr>
      <w:r w:rsidRPr="006A21EF">
        <w:rPr>
          <w:rFonts w:eastAsia="Times New Roman" w:cs="Arial"/>
          <w:szCs w:val="24"/>
        </w:rPr>
        <w:t>referrals</w:t>
      </w:r>
    </w:p>
    <w:p w:rsidR="00304BEA" w:rsidRPr="006A21EF" w:rsidRDefault="00304BEA" w:rsidP="00304BEA">
      <w:pPr>
        <w:pStyle w:val="ListParagraph"/>
        <w:numPr>
          <w:ilvl w:val="0"/>
          <w:numId w:val="4"/>
        </w:numPr>
        <w:spacing w:after="60" w:line="240" w:lineRule="auto"/>
        <w:ind w:left="1134" w:hanging="567"/>
        <w:contextualSpacing w:val="0"/>
        <w:rPr>
          <w:rFonts w:eastAsia="Times New Roman" w:cs="Arial"/>
          <w:szCs w:val="24"/>
        </w:rPr>
      </w:pPr>
      <w:r w:rsidRPr="006A21EF">
        <w:rPr>
          <w:rFonts w:eastAsia="Times New Roman" w:cs="Arial"/>
          <w:szCs w:val="24"/>
        </w:rPr>
        <w:t xml:space="preserve">being placed on the deceased donor waiting list </w:t>
      </w:r>
    </w:p>
    <w:p w:rsidR="00304BEA" w:rsidRPr="006A21EF" w:rsidRDefault="00304BEA" w:rsidP="00304BEA">
      <w:pPr>
        <w:pStyle w:val="ListParagraph"/>
        <w:numPr>
          <w:ilvl w:val="0"/>
          <w:numId w:val="4"/>
        </w:numPr>
        <w:spacing w:after="60" w:line="240" w:lineRule="auto"/>
        <w:ind w:left="1134" w:hanging="567"/>
        <w:contextualSpacing w:val="0"/>
        <w:rPr>
          <w:rFonts w:eastAsia="Times New Roman" w:cs="Arial"/>
          <w:szCs w:val="24"/>
        </w:rPr>
      </w:pPr>
      <w:proofErr w:type="gramStart"/>
      <w:r w:rsidRPr="006A21EF">
        <w:rPr>
          <w:rFonts w:eastAsia="Times New Roman" w:cs="Arial"/>
          <w:szCs w:val="24"/>
        </w:rPr>
        <w:t>deciding</w:t>
      </w:r>
      <w:proofErr w:type="gramEnd"/>
      <w:r w:rsidRPr="006A21EF">
        <w:rPr>
          <w:rFonts w:eastAsia="Times New Roman" w:cs="Arial"/>
          <w:szCs w:val="24"/>
        </w:rPr>
        <w:t xml:space="preserve"> who receives an organ when one becomes available. </w:t>
      </w:r>
    </w:p>
    <w:p w:rsidR="0099098D" w:rsidRPr="006A21EF" w:rsidRDefault="0099098D" w:rsidP="00114E07">
      <w:pPr>
        <w:numPr>
          <w:ilvl w:val="0"/>
          <w:numId w:val="2"/>
        </w:numPr>
        <w:tabs>
          <w:tab w:val="num" w:pos="540"/>
          <w:tab w:val="num" w:pos="570"/>
        </w:tabs>
        <w:spacing w:before="240" w:after="240"/>
        <w:ind w:left="570" w:hanging="570"/>
        <w:rPr>
          <w:rFonts w:cs="Arial"/>
          <w:szCs w:val="24"/>
        </w:rPr>
      </w:pPr>
      <w:r w:rsidRPr="006A21EF">
        <w:rPr>
          <w:rFonts w:cs="Arial"/>
          <w:szCs w:val="24"/>
        </w:rPr>
        <w:t xml:space="preserve">NEAC informed </w:t>
      </w:r>
      <w:r w:rsidR="00ED513D" w:rsidRPr="006A21EF">
        <w:rPr>
          <w:rFonts w:cs="Arial"/>
          <w:szCs w:val="24"/>
        </w:rPr>
        <w:t>the previous Minister of Health</w:t>
      </w:r>
      <w:r w:rsidRPr="006A21EF">
        <w:rPr>
          <w:rFonts w:cs="Arial"/>
          <w:szCs w:val="24"/>
        </w:rPr>
        <w:t xml:space="preserve"> about its work on </w:t>
      </w:r>
      <w:r w:rsidR="004629E1" w:rsidRPr="006A21EF">
        <w:rPr>
          <w:rFonts w:cs="Arial"/>
          <w:szCs w:val="24"/>
        </w:rPr>
        <w:t>access to organ transplantation</w:t>
      </w:r>
      <w:r w:rsidRPr="006A21EF">
        <w:rPr>
          <w:rFonts w:cs="Arial"/>
          <w:szCs w:val="24"/>
        </w:rPr>
        <w:t xml:space="preserve"> in February 2014 </w:t>
      </w:r>
      <w:r w:rsidR="00BC44FF" w:rsidRPr="006A21EF">
        <w:rPr>
          <w:rFonts w:cs="Arial"/>
          <w:szCs w:val="24"/>
        </w:rPr>
        <w:t>[</w:t>
      </w:r>
      <w:r w:rsidR="00A1404E" w:rsidRPr="006A21EF">
        <w:rPr>
          <w:rFonts w:cs="Arial"/>
          <w:szCs w:val="24"/>
        </w:rPr>
        <w:t>NEAC</w:t>
      </w:r>
      <w:r w:rsidRPr="006A21EF">
        <w:rPr>
          <w:rFonts w:cs="Arial"/>
          <w:szCs w:val="24"/>
        </w:rPr>
        <w:t xml:space="preserve"> Report 20140333 refers</w:t>
      </w:r>
      <w:r w:rsidR="00BC44FF" w:rsidRPr="006A21EF">
        <w:rPr>
          <w:rFonts w:cs="Arial"/>
          <w:szCs w:val="24"/>
        </w:rPr>
        <w:t>]</w:t>
      </w:r>
      <w:r w:rsidRPr="006A21EF">
        <w:rPr>
          <w:rFonts w:cs="Arial"/>
          <w:szCs w:val="24"/>
        </w:rPr>
        <w:t>.</w:t>
      </w:r>
      <w:r w:rsidR="00AA16DF" w:rsidRPr="006A21EF">
        <w:rPr>
          <w:rFonts w:cs="Arial"/>
          <w:szCs w:val="24"/>
        </w:rPr>
        <w:t xml:space="preserve"> </w:t>
      </w:r>
      <w:r w:rsidR="00ED513D" w:rsidRPr="006A21EF">
        <w:rPr>
          <w:rFonts w:cs="Arial"/>
          <w:szCs w:val="24"/>
        </w:rPr>
        <w:t>The previous Minister</w:t>
      </w:r>
      <w:r w:rsidR="00AA16DF" w:rsidRPr="006A21EF">
        <w:rPr>
          <w:rFonts w:cs="Arial"/>
          <w:szCs w:val="24"/>
        </w:rPr>
        <w:t xml:space="preserve"> </w:t>
      </w:r>
      <w:r w:rsidR="00FC688B" w:rsidRPr="006A21EF">
        <w:rPr>
          <w:rFonts w:cs="Arial"/>
          <w:szCs w:val="24"/>
        </w:rPr>
        <w:t xml:space="preserve">agreed that </w:t>
      </w:r>
      <w:r w:rsidR="00BC44FF" w:rsidRPr="006A21EF">
        <w:rPr>
          <w:rFonts w:cs="Arial"/>
          <w:szCs w:val="24"/>
        </w:rPr>
        <w:t>NEAC’s</w:t>
      </w:r>
      <w:r w:rsidR="00B71904" w:rsidRPr="006A21EF">
        <w:rPr>
          <w:rFonts w:cs="Arial"/>
          <w:szCs w:val="24"/>
        </w:rPr>
        <w:t xml:space="preserve"> initial</w:t>
      </w:r>
      <w:r w:rsidR="00BC44FF" w:rsidRPr="006A21EF">
        <w:rPr>
          <w:rFonts w:cs="Arial"/>
          <w:szCs w:val="24"/>
        </w:rPr>
        <w:t xml:space="preserve"> </w:t>
      </w:r>
      <w:r w:rsidR="00FC688B" w:rsidRPr="006A21EF">
        <w:rPr>
          <w:rFonts w:cs="Arial"/>
          <w:szCs w:val="24"/>
        </w:rPr>
        <w:t>work</w:t>
      </w:r>
      <w:r w:rsidR="00BC44FF" w:rsidRPr="006A21EF">
        <w:rPr>
          <w:rFonts w:cs="Arial"/>
          <w:szCs w:val="24"/>
        </w:rPr>
        <w:t xml:space="preserve"> in this area</w:t>
      </w:r>
      <w:r w:rsidR="00AA16DF" w:rsidRPr="006A21EF">
        <w:rPr>
          <w:rFonts w:cs="Arial"/>
          <w:szCs w:val="24"/>
        </w:rPr>
        <w:t xml:space="preserve"> should continue.</w:t>
      </w:r>
    </w:p>
    <w:p w:rsidR="00304BEA" w:rsidRPr="006A21EF" w:rsidRDefault="00304BEA" w:rsidP="00304BEA">
      <w:pPr>
        <w:numPr>
          <w:ilvl w:val="0"/>
          <w:numId w:val="2"/>
        </w:numPr>
        <w:tabs>
          <w:tab w:val="num" w:pos="540"/>
          <w:tab w:val="num" w:pos="570"/>
        </w:tabs>
        <w:spacing w:before="240" w:after="240"/>
        <w:ind w:left="570" w:hanging="570"/>
        <w:rPr>
          <w:rFonts w:cs="Arial"/>
          <w:szCs w:val="24"/>
        </w:rPr>
      </w:pPr>
      <w:r w:rsidRPr="006A21EF">
        <w:rPr>
          <w:rFonts w:cs="Arial"/>
          <w:szCs w:val="24"/>
        </w:rPr>
        <w:t xml:space="preserve">In September 2014, NEAC provided an early draft of this report to stakeholders and received well-considered and detailed comments and suggestions. Several stakeholders raised </w:t>
      </w:r>
      <w:r w:rsidRPr="006A21EF">
        <w:rPr>
          <w:rFonts w:cs="Arial"/>
          <w:color w:val="000000"/>
          <w:szCs w:val="24"/>
        </w:rPr>
        <w:t>ethical issues associated with organ donation and other aspects of transplantation (</w:t>
      </w:r>
      <w:proofErr w:type="spellStart"/>
      <w:r w:rsidRPr="006A21EF">
        <w:rPr>
          <w:rFonts w:cs="Arial"/>
          <w:color w:val="000000"/>
          <w:szCs w:val="24"/>
        </w:rPr>
        <w:t>eg</w:t>
      </w:r>
      <w:proofErr w:type="spellEnd"/>
      <w:r w:rsidRPr="006A21EF">
        <w:rPr>
          <w:rFonts w:cs="Arial"/>
          <w:color w:val="000000"/>
          <w:szCs w:val="24"/>
        </w:rPr>
        <w:t>, paired kidney exchange scheme)</w:t>
      </w:r>
      <w:r w:rsidRPr="006A21EF">
        <w:rPr>
          <w:rStyle w:val="FootnoteReference"/>
          <w:rFonts w:cs="Arial"/>
          <w:color w:val="000000"/>
          <w:szCs w:val="24"/>
        </w:rPr>
        <w:footnoteReference w:id="1"/>
      </w:r>
      <w:r w:rsidRPr="006A21EF">
        <w:rPr>
          <w:rFonts w:cs="Arial"/>
          <w:color w:val="000000"/>
          <w:szCs w:val="24"/>
        </w:rPr>
        <w:t xml:space="preserve"> but these </w:t>
      </w:r>
      <w:r w:rsidR="00615118" w:rsidRPr="006A21EF">
        <w:rPr>
          <w:rFonts w:cs="Arial"/>
          <w:color w:val="000000"/>
          <w:szCs w:val="24"/>
        </w:rPr>
        <w:t>were</w:t>
      </w:r>
      <w:r w:rsidRPr="006A21EF">
        <w:rPr>
          <w:rFonts w:cs="Arial"/>
          <w:color w:val="000000"/>
          <w:szCs w:val="24"/>
        </w:rPr>
        <w:t xml:space="preserve"> not within the scope of NEAC’s work. </w:t>
      </w:r>
      <w:r w:rsidRPr="006A21EF">
        <w:rPr>
          <w:rFonts w:cs="Arial"/>
          <w:szCs w:val="24"/>
        </w:rPr>
        <w:t xml:space="preserve">In general, stakeholders were supportive of NEAC’s work and several expressed an interest in any future work. </w:t>
      </w:r>
    </w:p>
    <w:p w:rsidR="00B11D57" w:rsidRPr="00A5006E" w:rsidRDefault="00BC44FF" w:rsidP="006C6F49">
      <w:r w:rsidRPr="00A5006E">
        <w:t xml:space="preserve">Overview of </w:t>
      </w:r>
      <w:r w:rsidRPr="006C6F49">
        <w:t>t</w:t>
      </w:r>
      <w:r w:rsidR="000A1A8C" w:rsidRPr="006C6F49">
        <w:t>ransplants</w:t>
      </w:r>
      <w:r w:rsidR="000A1A8C" w:rsidRPr="00A5006E">
        <w:t xml:space="preserve"> in New Zealand</w:t>
      </w:r>
    </w:p>
    <w:p w:rsidR="00B11D57" w:rsidRPr="00615118" w:rsidRDefault="004629E1" w:rsidP="00114E07">
      <w:pPr>
        <w:numPr>
          <w:ilvl w:val="0"/>
          <w:numId w:val="2"/>
        </w:numPr>
        <w:tabs>
          <w:tab w:val="num" w:pos="540"/>
          <w:tab w:val="num" w:pos="570"/>
        </w:tabs>
        <w:spacing w:before="240" w:after="240"/>
        <w:ind w:left="570" w:hanging="570"/>
        <w:rPr>
          <w:rFonts w:cs="Arial"/>
          <w:szCs w:val="24"/>
        </w:rPr>
      </w:pPr>
      <w:r w:rsidRPr="00615118">
        <w:rPr>
          <w:rFonts w:cs="Arial"/>
          <w:szCs w:val="24"/>
        </w:rPr>
        <w:t>In order to be considered for a</w:t>
      </w:r>
      <w:r w:rsidR="002375E3" w:rsidRPr="00615118">
        <w:rPr>
          <w:rFonts w:cs="Arial"/>
          <w:szCs w:val="24"/>
        </w:rPr>
        <w:t xml:space="preserve">n organ </w:t>
      </w:r>
      <w:r w:rsidRPr="00615118">
        <w:rPr>
          <w:rFonts w:cs="Arial"/>
          <w:szCs w:val="24"/>
        </w:rPr>
        <w:t>transplant</w:t>
      </w:r>
      <w:r w:rsidR="002375E3" w:rsidRPr="00615118">
        <w:rPr>
          <w:rFonts w:cs="Arial"/>
          <w:szCs w:val="24"/>
        </w:rPr>
        <w:t xml:space="preserve"> (involving either a deceased or living donor)</w:t>
      </w:r>
      <w:r w:rsidRPr="00615118">
        <w:rPr>
          <w:rFonts w:cs="Arial"/>
          <w:szCs w:val="24"/>
        </w:rPr>
        <w:t xml:space="preserve">, patients need to be referred by their GP to a consultant, who then makes a referral to the transplant unit. All patients are required to undergo medical and psychosocial tests to assess their suitability for transplant. </w:t>
      </w:r>
    </w:p>
    <w:p w:rsidR="004629E1" w:rsidRDefault="000B753A" w:rsidP="00114E07">
      <w:pPr>
        <w:numPr>
          <w:ilvl w:val="0"/>
          <w:numId w:val="2"/>
        </w:numPr>
        <w:tabs>
          <w:tab w:val="num" w:pos="540"/>
          <w:tab w:val="num" w:pos="570"/>
        </w:tabs>
        <w:spacing w:before="240" w:after="240"/>
        <w:ind w:left="570" w:hanging="570"/>
        <w:rPr>
          <w:rFonts w:cs="Arial"/>
          <w:szCs w:val="24"/>
        </w:rPr>
      </w:pPr>
      <w:r>
        <w:rPr>
          <w:rFonts w:cs="Arial"/>
          <w:szCs w:val="24"/>
        </w:rPr>
        <w:t>P</w:t>
      </w:r>
      <w:r w:rsidR="004629E1">
        <w:rPr>
          <w:rFonts w:cs="Arial"/>
          <w:szCs w:val="24"/>
        </w:rPr>
        <w:t xml:space="preserve">atients may </w:t>
      </w:r>
      <w:r>
        <w:rPr>
          <w:rFonts w:cs="Arial"/>
          <w:szCs w:val="24"/>
        </w:rPr>
        <w:t xml:space="preserve">then </w:t>
      </w:r>
      <w:r w:rsidR="004629E1">
        <w:rPr>
          <w:rFonts w:cs="Arial"/>
          <w:szCs w:val="24"/>
        </w:rPr>
        <w:t>be placed on the deceased donor list</w:t>
      </w:r>
      <w:r w:rsidR="0052620C">
        <w:rPr>
          <w:rFonts w:cs="Arial"/>
          <w:szCs w:val="24"/>
        </w:rPr>
        <w:t>.</w:t>
      </w:r>
      <w:r w:rsidR="004629E1">
        <w:rPr>
          <w:rStyle w:val="FootnoteReference"/>
          <w:rFonts w:cs="Arial"/>
          <w:szCs w:val="24"/>
        </w:rPr>
        <w:footnoteReference w:id="2"/>
      </w:r>
      <w:r w:rsidR="004629E1">
        <w:rPr>
          <w:rFonts w:cs="Arial"/>
          <w:szCs w:val="24"/>
        </w:rPr>
        <w:t xml:space="preserve"> The criteria for being placed on the list differ for each organ. When a deceased donor organ </w:t>
      </w:r>
      <w:r w:rsidR="004629E1">
        <w:rPr>
          <w:rFonts w:cs="Arial"/>
          <w:szCs w:val="24"/>
        </w:rPr>
        <w:lastRenderedPageBreak/>
        <w:t xml:space="preserve">becomes available, a </w:t>
      </w:r>
      <w:r w:rsidR="004629E1" w:rsidRPr="00A5006E">
        <w:rPr>
          <w:rFonts w:cs="Arial"/>
          <w:szCs w:val="24"/>
        </w:rPr>
        <w:t>range of criteria are taken into account in deciding who receives the organ</w:t>
      </w:r>
      <w:r w:rsidR="002375E3">
        <w:rPr>
          <w:rFonts w:cs="Arial"/>
          <w:szCs w:val="24"/>
        </w:rPr>
        <w:t>, for example,</w:t>
      </w:r>
      <w:r w:rsidR="004629E1" w:rsidRPr="00A5006E">
        <w:rPr>
          <w:rFonts w:cs="Arial"/>
          <w:szCs w:val="24"/>
        </w:rPr>
        <w:t xml:space="preserve"> blood group, size </w:t>
      </w:r>
      <w:r w:rsidR="0052620C">
        <w:rPr>
          <w:rFonts w:cs="Arial"/>
          <w:szCs w:val="24"/>
        </w:rPr>
        <w:t xml:space="preserve">of the organ relative to the size of the </w:t>
      </w:r>
      <w:r w:rsidR="00C174E0">
        <w:rPr>
          <w:rFonts w:cs="Arial"/>
          <w:szCs w:val="24"/>
        </w:rPr>
        <w:t>patient</w:t>
      </w:r>
      <w:r w:rsidR="0052620C">
        <w:rPr>
          <w:rFonts w:cs="Arial"/>
          <w:szCs w:val="24"/>
        </w:rPr>
        <w:t xml:space="preserve"> being transplanted, </w:t>
      </w:r>
      <w:r w:rsidR="004629E1" w:rsidRPr="00A5006E">
        <w:rPr>
          <w:rFonts w:cs="Arial"/>
          <w:szCs w:val="24"/>
        </w:rPr>
        <w:t>and urgency.</w:t>
      </w:r>
      <w:r w:rsidR="004629E1">
        <w:rPr>
          <w:rFonts w:cs="Arial"/>
          <w:szCs w:val="24"/>
        </w:rPr>
        <w:t xml:space="preserve"> </w:t>
      </w:r>
    </w:p>
    <w:p w:rsidR="004629E1" w:rsidRDefault="00786DCF" w:rsidP="00114E07">
      <w:pPr>
        <w:numPr>
          <w:ilvl w:val="0"/>
          <w:numId w:val="2"/>
        </w:numPr>
        <w:tabs>
          <w:tab w:val="num" w:pos="540"/>
          <w:tab w:val="num" w:pos="570"/>
        </w:tabs>
        <w:spacing w:before="240" w:after="240"/>
        <w:ind w:left="570" w:hanging="570"/>
        <w:rPr>
          <w:rFonts w:eastAsia="Times New Roman" w:cs="Arial"/>
          <w:szCs w:val="24"/>
        </w:rPr>
      </w:pPr>
      <w:r w:rsidRPr="00A5006E">
        <w:rPr>
          <w:rFonts w:eastAsia="Times New Roman" w:cs="Arial"/>
          <w:szCs w:val="24"/>
        </w:rPr>
        <w:t>Liver, heart, pancreas</w:t>
      </w:r>
      <w:r w:rsidRPr="00A5006E">
        <w:rPr>
          <w:rFonts w:eastAsia="Times New Roman" w:cs="Arial"/>
          <w:szCs w:val="24"/>
          <w:vertAlign w:val="superscript"/>
        </w:rPr>
        <w:footnoteReference w:id="3"/>
      </w:r>
      <w:r w:rsidRPr="00A5006E">
        <w:rPr>
          <w:rFonts w:eastAsia="Times New Roman" w:cs="Arial"/>
          <w:szCs w:val="24"/>
        </w:rPr>
        <w:t xml:space="preserve"> and lung transplants are </w:t>
      </w:r>
      <w:r w:rsidR="00BC44FF" w:rsidRPr="00A5006E">
        <w:rPr>
          <w:rFonts w:eastAsia="Times New Roman" w:cs="Arial"/>
          <w:szCs w:val="24"/>
        </w:rPr>
        <w:t xml:space="preserve">each </w:t>
      </w:r>
      <w:r w:rsidRPr="00A5006E">
        <w:rPr>
          <w:rFonts w:eastAsia="Times New Roman" w:cs="Arial"/>
          <w:szCs w:val="24"/>
        </w:rPr>
        <w:t xml:space="preserve">performed at </w:t>
      </w:r>
      <w:r w:rsidR="00BC44FF" w:rsidRPr="00A5006E">
        <w:rPr>
          <w:rFonts w:eastAsia="Times New Roman" w:cs="Arial"/>
          <w:szCs w:val="24"/>
        </w:rPr>
        <w:t xml:space="preserve">a separate </w:t>
      </w:r>
      <w:r w:rsidRPr="00A5006E">
        <w:rPr>
          <w:rFonts w:eastAsia="Times New Roman" w:cs="Arial"/>
          <w:szCs w:val="24"/>
        </w:rPr>
        <w:t>transplant centr</w:t>
      </w:r>
      <w:r w:rsidR="00B71904" w:rsidRPr="00A5006E">
        <w:rPr>
          <w:rFonts w:eastAsia="Times New Roman" w:cs="Arial"/>
          <w:szCs w:val="24"/>
        </w:rPr>
        <w:t>e</w:t>
      </w:r>
      <w:r w:rsidRPr="00A5006E">
        <w:rPr>
          <w:rFonts w:eastAsia="Times New Roman" w:cs="Arial"/>
          <w:szCs w:val="24"/>
        </w:rPr>
        <w:t xml:space="preserve">, all </w:t>
      </w:r>
      <w:r w:rsidR="00BC44FF" w:rsidRPr="00A5006E">
        <w:rPr>
          <w:rFonts w:eastAsia="Times New Roman" w:cs="Arial"/>
          <w:szCs w:val="24"/>
        </w:rPr>
        <w:t xml:space="preserve">of which are </w:t>
      </w:r>
      <w:r w:rsidRPr="00A5006E">
        <w:rPr>
          <w:rFonts w:eastAsia="Times New Roman" w:cs="Arial"/>
          <w:szCs w:val="24"/>
        </w:rPr>
        <w:t>located in Auckland</w:t>
      </w:r>
      <w:r w:rsidR="00BC44FF" w:rsidRPr="00A5006E">
        <w:rPr>
          <w:rFonts w:eastAsia="Times New Roman" w:cs="Arial"/>
          <w:szCs w:val="24"/>
        </w:rPr>
        <w:t>.</w:t>
      </w:r>
      <w:r w:rsidR="0052620C">
        <w:rPr>
          <w:rFonts w:eastAsia="Times New Roman" w:cs="Arial"/>
          <w:szCs w:val="24"/>
        </w:rPr>
        <w:t xml:space="preserve"> There is one national waiting list for each </w:t>
      </w:r>
      <w:r w:rsidR="00D708AA">
        <w:rPr>
          <w:rFonts w:eastAsia="Times New Roman" w:cs="Arial"/>
          <w:szCs w:val="24"/>
        </w:rPr>
        <w:t xml:space="preserve">of these </w:t>
      </w:r>
      <w:r w:rsidR="0052620C">
        <w:rPr>
          <w:rFonts w:eastAsia="Times New Roman" w:cs="Arial"/>
          <w:szCs w:val="24"/>
        </w:rPr>
        <w:t>organ</w:t>
      </w:r>
      <w:r w:rsidR="00D708AA">
        <w:rPr>
          <w:rFonts w:eastAsia="Times New Roman" w:cs="Arial"/>
          <w:szCs w:val="24"/>
        </w:rPr>
        <w:t>s</w:t>
      </w:r>
      <w:r w:rsidR="0052620C">
        <w:rPr>
          <w:rFonts w:eastAsia="Times New Roman" w:cs="Arial"/>
          <w:szCs w:val="24"/>
        </w:rPr>
        <w:t>.</w:t>
      </w:r>
      <w:r w:rsidR="00BC44FF" w:rsidRPr="00A5006E">
        <w:rPr>
          <w:rFonts w:eastAsia="Times New Roman" w:cs="Arial"/>
          <w:szCs w:val="24"/>
        </w:rPr>
        <w:t xml:space="preserve"> K</w:t>
      </w:r>
      <w:r w:rsidRPr="00A5006E">
        <w:rPr>
          <w:rFonts w:eastAsia="Times New Roman" w:cs="Arial"/>
          <w:szCs w:val="24"/>
        </w:rPr>
        <w:t>idney transplants are performed in Auckland, Wellington and Christchurch</w:t>
      </w:r>
      <w:r w:rsidR="004629E1">
        <w:rPr>
          <w:rFonts w:eastAsia="Times New Roman" w:cs="Arial"/>
          <w:szCs w:val="24"/>
        </w:rPr>
        <w:t>. There is one national waiting list for all patients awaiting deceased donor kidney transplants. Deceased donor kidneys are allocated to patients on that list, with the operation occurring at the centre where the patient has been accepted</w:t>
      </w:r>
      <w:r w:rsidR="0052620C">
        <w:rPr>
          <w:rFonts w:eastAsia="Times New Roman" w:cs="Arial"/>
          <w:szCs w:val="24"/>
        </w:rPr>
        <w:t xml:space="preserve"> onto the list</w:t>
      </w:r>
      <w:r w:rsidR="004629E1">
        <w:rPr>
          <w:rFonts w:eastAsia="Times New Roman" w:cs="Arial"/>
          <w:szCs w:val="24"/>
        </w:rPr>
        <w:t xml:space="preserve">. </w:t>
      </w:r>
    </w:p>
    <w:p w:rsidR="00786DCF" w:rsidRPr="00A5006E" w:rsidRDefault="00B71904" w:rsidP="00114E07">
      <w:pPr>
        <w:numPr>
          <w:ilvl w:val="0"/>
          <w:numId w:val="2"/>
        </w:numPr>
        <w:tabs>
          <w:tab w:val="num" w:pos="540"/>
          <w:tab w:val="num" w:pos="570"/>
        </w:tabs>
        <w:spacing w:before="240" w:after="120"/>
        <w:ind w:left="573" w:hanging="573"/>
        <w:rPr>
          <w:rFonts w:eastAsia="Times New Roman" w:cs="Arial"/>
          <w:szCs w:val="24"/>
        </w:rPr>
      </w:pPr>
      <w:r w:rsidRPr="00114E07">
        <w:rPr>
          <w:rFonts w:cs="Arial"/>
          <w:color w:val="000000"/>
          <w:szCs w:val="24"/>
        </w:rPr>
        <w:t>T</w:t>
      </w:r>
      <w:r w:rsidR="00611134" w:rsidRPr="00114E07">
        <w:rPr>
          <w:rFonts w:cs="Arial"/>
          <w:color w:val="000000"/>
          <w:szCs w:val="24"/>
        </w:rPr>
        <w:t>able</w:t>
      </w:r>
      <w:r w:rsidR="00611134" w:rsidRPr="00A5006E">
        <w:rPr>
          <w:rFonts w:eastAsia="Times New Roman" w:cs="Arial"/>
          <w:szCs w:val="24"/>
        </w:rPr>
        <w:t xml:space="preserve"> 1 </w:t>
      </w:r>
      <w:r w:rsidRPr="00A5006E">
        <w:rPr>
          <w:rFonts w:eastAsia="Times New Roman" w:cs="Arial"/>
          <w:szCs w:val="24"/>
        </w:rPr>
        <w:t>shows</w:t>
      </w:r>
      <w:r w:rsidR="00611134" w:rsidRPr="00A5006E">
        <w:rPr>
          <w:rFonts w:eastAsia="Times New Roman" w:cs="Arial"/>
          <w:szCs w:val="24"/>
        </w:rPr>
        <w:t xml:space="preserve"> the number of transplants performed in New Zealand each year.</w:t>
      </w:r>
    </w:p>
    <w:p w:rsidR="00611134" w:rsidRPr="00A5006E" w:rsidRDefault="00611134" w:rsidP="006C6F49">
      <w:pPr>
        <w:pStyle w:val="Heading3"/>
      </w:pPr>
      <w:r w:rsidRPr="00A5006E">
        <w:t xml:space="preserve">Table 1: Number of </w:t>
      </w:r>
      <w:r w:rsidRPr="006C6F49">
        <w:t>transplants</w:t>
      </w:r>
      <w:r w:rsidRPr="00A5006E">
        <w:t xml:space="preserve"> performed each year </w:t>
      </w:r>
    </w:p>
    <w:tbl>
      <w:tblPr>
        <w:tblStyle w:val="TableGrid"/>
        <w:tblW w:w="8478" w:type="dxa"/>
        <w:tblInd w:w="585" w:type="dxa"/>
        <w:tblLook w:val="04A0" w:firstRow="1" w:lastRow="0" w:firstColumn="1" w:lastColumn="0" w:noHBand="0" w:noVBand="1"/>
      </w:tblPr>
      <w:tblGrid>
        <w:gridCol w:w="3863"/>
        <w:gridCol w:w="923"/>
        <w:gridCol w:w="923"/>
        <w:gridCol w:w="923"/>
        <w:gridCol w:w="923"/>
        <w:gridCol w:w="923"/>
      </w:tblGrid>
      <w:tr w:rsidR="00611134" w:rsidRPr="00D708AA" w:rsidTr="006C6F49">
        <w:trPr>
          <w:trHeight w:val="260"/>
          <w:tblHeader/>
        </w:trPr>
        <w:tc>
          <w:tcPr>
            <w:tcW w:w="0" w:type="auto"/>
            <w:tcBorders>
              <w:top w:val="single" w:sz="12" w:space="0" w:color="auto"/>
              <w:left w:val="single" w:sz="12" w:space="0" w:color="auto"/>
              <w:bottom w:val="single" w:sz="12" w:space="0" w:color="auto"/>
              <w:right w:val="single" w:sz="12" w:space="0" w:color="auto"/>
            </w:tcBorders>
            <w:hideMark/>
          </w:tcPr>
          <w:p w:rsidR="00611134" w:rsidRPr="00114E07" w:rsidRDefault="00611134" w:rsidP="0052620C">
            <w:pPr>
              <w:rPr>
                <w:rFonts w:eastAsia="Times New Roman" w:cs="Arial"/>
                <w:b/>
                <w:bCs/>
                <w:szCs w:val="24"/>
                <w:lang w:eastAsia="en-NZ"/>
              </w:rPr>
            </w:pPr>
            <w:r w:rsidRPr="00114E07">
              <w:rPr>
                <w:rFonts w:eastAsia="Times New Roman" w:cs="Arial"/>
                <w:b/>
                <w:bCs/>
                <w:szCs w:val="24"/>
                <w:lang w:eastAsia="en-NZ"/>
              </w:rPr>
              <w:t>Transplanted organ</w:t>
            </w:r>
          </w:p>
        </w:tc>
        <w:tc>
          <w:tcPr>
            <w:tcW w:w="0" w:type="auto"/>
            <w:tcBorders>
              <w:top w:val="single" w:sz="12" w:space="0" w:color="auto"/>
              <w:left w:val="single" w:sz="12" w:space="0" w:color="auto"/>
              <w:bottom w:val="single" w:sz="12" w:space="0" w:color="auto"/>
            </w:tcBorders>
            <w:hideMark/>
          </w:tcPr>
          <w:p w:rsidR="00611134" w:rsidRPr="00114E07" w:rsidRDefault="00611134" w:rsidP="00114E07">
            <w:pPr>
              <w:rPr>
                <w:rFonts w:eastAsia="Times New Roman" w:cs="Arial"/>
                <w:b/>
                <w:bCs/>
                <w:szCs w:val="24"/>
                <w:lang w:eastAsia="en-NZ"/>
              </w:rPr>
            </w:pPr>
            <w:r w:rsidRPr="00114E07">
              <w:rPr>
                <w:rFonts w:eastAsia="Times New Roman" w:cs="Arial"/>
                <w:b/>
                <w:bCs/>
                <w:szCs w:val="24"/>
                <w:lang w:eastAsia="en-NZ"/>
              </w:rPr>
              <w:t>2009</w:t>
            </w:r>
          </w:p>
        </w:tc>
        <w:tc>
          <w:tcPr>
            <w:tcW w:w="0" w:type="auto"/>
            <w:tcBorders>
              <w:top w:val="single" w:sz="12" w:space="0" w:color="auto"/>
              <w:bottom w:val="single" w:sz="12" w:space="0" w:color="auto"/>
            </w:tcBorders>
            <w:hideMark/>
          </w:tcPr>
          <w:p w:rsidR="00611134" w:rsidRPr="00114E07" w:rsidRDefault="00611134" w:rsidP="00114E07">
            <w:pPr>
              <w:rPr>
                <w:rFonts w:eastAsia="Times New Roman" w:cs="Arial"/>
                <w:b/>
                <w:bCs/>
                <w:szCs w:val="24"/>
                <w:lang w:eastAsia="en-NZ"/>
              </w:rPr>
            </w:pPr>
            <w:r w:rsidRPr="00114E07">
              <w:rPr>
                <w:rFonts w:eastAsia="Times New Roman" w:cs="Arial"/>
                <w:b/>
                <w:bCs/>
                <w:szCs w:val="24"/>
                <w:lang w:eastAsia="en-NZ"/>
              </w:rPr>
              <w:t>2010</w:t>
            </w:r>
          </w:p>
        </w:tc>
        <w:tc>
          <w:tcPr>
            <w:tcW w:w="0" w:type="auto"/>
            <w:tcBorders>
              <w:top w:val="single" w:sz="12" w:space="0" w:color="auto"/>
              <w:bottom w:val="single" w:sz="12" w:space="0" w:color="auto"/>
            </w:tcBorders>
            <w:hideMark/>
          </w:tcPr>
          <w:p w:rsidR="00611134" w:rsidRPr="00114E07" w:rsidRDefault="00611134" w:rsidP="00114E07">
            <w:pPr>
              <w:rPr>
                <w:rFonts w:eastAsia="Times New Roman" w:cs="Arial"/>
                <w:b/>
                <w:bCs/>
                <w:szCs w:val="24"/>
                <w:lang w:eastAsia="en-NZ"/>
              </w:rPr>
            </w:pPr>
            <w:r w:rsidRPr="00114E07">
              <w:rPr>
                <w:rFonts w:eastAsia="Times New Roman" w:cs="Arial"/>
                <w:b/>
                <w:bCs/>
                <w:szCs w:val="24"/>
                <w:lang w:eastAsia="en-NZ"/>
              </w:rPr>
              <w:t>2011</w:t>
            </w:r>
          </w:p>
        </w:tc>
        <w:tc>
          <w:tcPr>
            <w:tcW w:w="0" w:type="auto"/>
            <w:tcBorders>
              <w:top w:val="single" w:sz="12" w:space="0" w:color="auto"/>
              <w:bottom w:val="single" w:sz="12" w:space="0" w:color="auto"/>
            </w:tcBorders>
            <w:hideMark/>
          </w:tcPr>
          <w:p w:rsidR="00611134" w:rsidRPr="00114E07" w:rsidRDefault="00611134" w:rsidP="00114E07">
            <w:pPr>
              <w:rPr>
                <w:rFonts w:eastAsia="Times New Roman" w:cs="Arial"/>
                <w:b/>
                <w:bCs/>
                <w:szCs w:val="24"/>
                <w:lang w:eastAsia="en-NZ"/>
              </w:rPr>
            </w:pPr>
            <w:r w:rsidRPr="00114E07">
              <w:rPr>
                <w:rFonts w:eastAsia="Times New Roman" w:cs="Arial"/>
                <w:b/>
                <w:bCs/>
                <w:szCs w:val="24"/>
                <w:lang w:eastAsia="en-NZ"/>
              </w:rPr>
              <w:t>2012</w:t>
            </w:r>
          </w:p>
        </w:tc>
        <w:tc>
          <w:tcPr>
            <w:tcW w:w="0" w:type="auto"/>
            <w:tcBorders>
              <w:top w:val="single" w:sz="12" w:space="0" w:color="auto"/>
              <w:bottom w:val="single" w:sz="12" w:space="0" w:color="auto"/>
              <w:right w:val="single" w:sz="12" w:space="0" w:color="auto"/>
            </w:tcBorders>
            <w:hideMark/>
          </w:tcPr>
          <w:p w:rsidR="00611134" w:rsidRPr="00114E07" w:rsidRDefault="00611134" w:rsidP="00114E07">
            <w:pPr>
              <w:rPr>
                <w:rFonts w:eastAsia="Times New Roman" w:cs="Arial"/>
                <w:b/>
                <w:bCs/>
                <w:szCs w:val="24"/>
                <w:lang w:eastAsia="en-NZ"/>
              </w:rPr>
            </w:pPr>
            <w:r w:rsidRPr="00114E07">
              <w:rPr>
                <w:rFonts w:eastAsia="Times New Roman" w:cs="Arial"/>
                <w:b/>
                <w:bCs/>
                <w:szCs w:val="24"/>
                <w:lang w:eastAsia="en-NZ"/>
              </w:rPr>
              <w:t>2013</w:t>
            </w:r>
          </w:p>
        </w:tc>
      </w:tr>
      <w:tr w:rsidR="00611134" w:rsidRPr="00D708AA" w:rsidTr="006C6F49">
        <w:trPr>
          <w:trHeight w:val="260"/>
          <w:tblHeader/>
        </w:trPr>
        <w:tc>
          <w:tcPr>
            <w:tcW w:w="0" w:type="auto"/>
            <w:tcBorders>
              <w:top w:val="single" w:sz="12" w:space="0" w:color="auto"/>
              <w:left w:val="single" w:sz="12" w:space="0" w:color="auto"/>
              <w:bottom w:val="single" w:sz="12" w:space="0" w:color="auto"/>
              <w:right w:val="single" w:sz="12" w:space="0" w:color="auto"/>
            </w:tcBorders>
            <w:vAlign w:val="center"/>
            <w:hideMark/>
          </w:tcPr>
          <w:p w:rsidR="00611134" w:rsidRPr="00114E07" w:rsidRDefault="00611134" w:rsidP="0052620C">
            <w:pPr>
              <w:spacing w:before="240"/>
              <w:rPr>
                <w:rFonts w:eastAsia="Times New Roman" w:cs="Arial"/>
                <w:szCs w:val="24"/>
                <w:lang w:eastAsia="en-NZ"/>
              </w:rPr>
            </w:pPr>
            <w:r w:rsidRPr="00114E07">
              <w:rPr>
                <w:rFonts w:eastAsia="Times New Roman" w:cs="Arial"/>
                <w:szCs w:val="24"/>
                <w:lang w:eastAsia="en-NZ"/>
              </w:rPr>
              <w:t>Hearts</w:t>
            </w:r>
          </w:p>
        </w:tc>
        <w:tc>
          <w:tcPr>
            <w:tcW w:w="0" w:type="auto"/>
            <w:tcBorders>
              <w:top w:val="single" w:sz="12" w:space="0" w:color="auto"/>
              <w:left w:val="single" w:sz="12" w:space="0" w:color="auto"/>
              <w:bottom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11</w:t>
            </w:r>
          </w:p>
        </w:tc>
        <w:tc>
          <w:tcPr>
            <w:tcW w:w="0" w:type="auto"/>
            <w:tcBorders>
              <w:top w:val="single" w:sz="12" w:space="0" w:color="auto"/>
              <w:bottom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11</w:t>
            </w:r>
          </w:p>
        </w:tc>
        <w:tc>
          <w:tcPr>
            <w:tcW w:w="0" w:type="auto"/>
            <w:tcBorders>
              <w:top w:val="single" w:sz="12" w:space="0" w:color="auto"/>
              <w:bottom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11</w:t>
            </w:r>
          </w:p>
        </w:tc>
        <w:tc>
          <w:tcPr>
            <w:tcW w:w="0" w:type="auto"/>
            <w:tcBorders>
              <w:top w:val="single" w:sz="12" w:space="0" w:color="auto"/>
              <w:bottom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12</w:t>
            </w:r>
          </w:p>
        </w:tc>
        <w:tc>
          <w:tcPr>
            <w:tcW w:w="0" w:type="auto"/>
            <w:tcBorders>
              <w:top w:val="single" w:sz="12" w:space="0" w:color="auto"/>
              <w:bottom w:val="single" w:sz="12" w:space="0" w:color="auto"/>
              <w:right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9</w:t>
            </w:r>
          </w:p>
        </w:tc>
      </w:tr>
      <w:tr w:rsidR="00611134" w:rsidRPr="00D708AA" w:rsidTr="006C6F49">
        <w:trPr>
          <w:trHeight w:val="260"/>
          <w:tblHeader/>
        </w:trPr>
        <w:tc>
          <w:tcPr>
            <w:tcW w:w="0" w:type="auto"/>
            <w:tcBorders>
              <w:top w:val="single" w:sz="12" w:space="0" w:color="auto"/>
              <w:left w:val="single" w:sz="12" w:space="0" w:color="auto"/>
              <w:bottom w:val="single" w:sz="12" w:space="0" w:color="auto"/>
              <w:right w:val="single" w:sz="12" w:space="0" w:color="auto"/>
            </w:tcBorders>
            <w:vAlign w:val="center"/>
            <w:hideMark/>
          </w:tcPr>
          <w:p w:rsidR="00611134" w:rsidRPr="00114E07" w:rsidRDefault="00611134" w:rsidP="0052620C">
            <w:pPr>
              <w:spacing w:before="240"/>
              <w:rPr>
                <w:rFonts w:eastAsia="Times New Roman" w:cs="Arial"/>
                <w:szCs w:val="24"/>
                <w:lang w:eastAsia="en-NZ"/>
              </w:rPr>
            </w:pPr>
            <w:r w:rsidRPr="00114E07">
              <w:rPr>
                <w:rFonts w:eastAsia="Times New Roman" w:cs="Arial"/>
                <w:szCs w:val="24"/>
                <w:lang w:eastAsia="en-NZ"/>
              </w:rPr>
              <w:t>Lungs</w:t>
            </w:r>
          </w:p>
        </w:tc>
        <w:tc>
          <w:tcPr>
            <w:tcW w:w="0" w:type="auto"/>
            <w:tcBorders>
              <w:top w:val="single" w:sz="12" w:space="0" w:color="auto"/>
              <w:left w:val="single" w:sz="12" w:space="0" w:color="auto"/>
              <w:bottom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8</w:t>
            </w:r>
          </w:p>
        </w:tc>
        <w:tc>
          <w:tcPr>
            <w:tcW w:w="0" w:type="auto"/>
            <w:tcBorders>
              <w:top w:val="single" w:sz="12" w:space="0" w:color="auto"/>
              <w:bottom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9</w:t>
            </w:r>
          </w:p>
        </w:tc>
        <w:tc>
          <w:tcPr>
            <w:tcW w:w="0" w:type="auto"/>
            <w:tcBorders>
              <w:top w:val="single" w:sz="12" w:space="0" w:color="auto"/>
              <w:bottom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10</w:t>
            </w:r>
          </w:p>
        </w:tc>
        <w:tc>
          <w:tcPr>
            <w:tcW w:w="0" w:type="auto"/>
            <w:tcBorders>
              <w:top w:val="single" w:sz="12" w:space="0" w:color="auto"/>
              <w:bottom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12</w:t>
            </w:r>
          </w:p>
        </w:tc>
        <w:tc>
          <w:tcPr>
            <w:tcW w:w="0" w:type="auto"/>
            <w:tcBorders>
              <w:top w:val="single" w:sz="12" w:space="0" w:color="auto"/>
              <w:bottom w:val="single" w:sz="12" w:space="0" w:color="auto"/>
              <w:right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19</w:t>
            </w:r>
          </w:p>
        </w:tc>
      </w:tr>
      <w:tr w:rsidR="00611134" w:rsidRPr="00D708AA" w:rsidTr="006C6F49">
        <w:trPr>
          <w:trHeight w:val="260"/>
          <w:tblHeader/>
        </w:trPr>
        <w:tc>
          <w:tcPr>
            <w:tcW w:w="0" w:type="auto"/>
            <w:tcBorders>
              <w:top w:val="single" w:sz="12" w:space="0" w:color="auto"/>
              <w:left w:val="single" w:sz="12" w:space="0" w:color="auto"/>
              <w:right w:val="single" w:sz="12" w:space="0" w:color="auto"/>
            </w:tcBorders>
            <w:vAlign w:val="center"/>
            <w:hideMark/>
          </w:tcPr>
          <w:p w:rsidR="00611134" w:rsidRPr="00114E07" w:rsidRDefault="00611134" w:rsidP="0052620C">
            <w:pPr>
              <w:spacing w:before="240"/>
              <w:rPr>
                <w:rFonts w:eastAsia="Times New Roman" w:cs="Arial"/>
                <w:szCs w:val="24"/>
                <w:lang w:eastAsia="en-NZ"/>
              </w:rPr>
            </w:pPr>
            <w:r w:rsidRPr="00114E07">
              <w:rPr>
                <w:rFonts w:eastAsia="Times New Roman" w:cs="Arial"/>
                <w:szCs w:val="24"/>
                <w:lang w:eastAsia="en-NZ"/>
              </w:rPr>
              <w:t>Livers (deceased donors)</w:t>
            </w:r>
          </w:p>
        </w:tc>
        <w:tc>
          <w:tcPr>
            <w:tcW w:w="0" w:type="auto"/>
            <w:tcBorders>
              <w:top w:val="single" w:sz="12" w:space="0" w:color="auto"/>
              <w:left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31</w:t>
            </w:r>
          </w:p>
        </w:tc>
        <w:tc>
          <w:tcPr>
            <w:tcW w:w="0" w:type="auto"/>
            <w:tcBorders>
              <w:top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35</w:t>
            </w:r>
          </w:p>
        </w:tc>
        <w:tc>
          <w:tcPr>
            <w:tcW w:w="0" w:type="auto"/>
            <w:tcBorders>
              <w:top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36</w:t>
            </w:r>
          </w:p>
        </w:tc>
        <w:tc>
          <w:tcPr>
            <w:tcW w:w="0" w:type="auto"/>
            <w:tcBorders>
              <w:top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29</w:t>
            </w:r>
          </w:p>
        </w:tc>
        <w:tc>
          <w:tcPr>
            <w:tcW w:w="0" w:type="auto"/>
            <w:tcBorders>
              <w:top w:val="single" w:sz="12" w:space="0" w:color="auto"/>
              <w:right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31</w:t>
            </w:r>
          </w:p>
        </w:tc>
      </w:tr>
      <w:tr w:rsidR="00611134" w:rsidRPr="00D708AA" w:rsidTr="006C6F49">
        <w:trPr>
          <w:trHeight w:val="260"/>
          <w:tblHeader/>
        </w:trPr>
        <w:tc>
          <w:tcPr>
            <w:tcW w:w="0" w:type="auto"/>
            <w:tcBorders>
              <w:left w:val="single" w:sz="12" w:space="0" w:color="auto"/>
              <w:bottom w:val="single" w:sz="12" w:space="0" w:color="auto"/>
              <w:right w:val="single" w:sz="12" w:space="0" w:color="auto"/>
            </w:tcBorders>
            <w:vAlign w:val="center"/>
            <w:hideMark/>
          </w:tcPr>
          <w:p w:rsidR="00611134" w:rsidRPr="00114E07" w:rsidRDefault="00611134" w:rsidP="0052620C">
            <w:pPr>
              <w:spacing w:before="240"/>
              <w:rPr>
                <w:rFonts w:eastAsia="Times New Roman" w:cs="Arial"/>
                <w:szCs w:val="24"/>
                <w:lang w:eastAsia="en-NZ"/>
              </w:rPr>
            </w:pPr>
            <w:r w:rsidRPr="00114E07">
              <w:rPr>
                <w:rFonts w:eastAsia="Times New Roman" w:cs="Arial"/>
                <w:szCs w:val="24"/>
                <w:lang w:eastAsia="en-NZ"/>
              </w:rPr>
              <w:t>Livers (living donors)</w:t>
            </w:r>
          </w:p>
        </w:tc>
        <w:tc>
          <w:tcPr>
            <w:tcW w:w="0" w:type="auto"/>
            <w:tcBorders>
              <w:left w:val="single" w:sz="12" w:space="0" w:color="auto"/>
              <w:bottom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8</w:t>
            </w:r>
          </w:p>
        </w:tc>
        <w:tc>
          <w:tcPr>
            <w:tcW w:w="0" w:type="auto"/>
            <w:tcBorders>
              <w:bottom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6</w:t>
            </w:r>
          </w:p>
        </w:tc>
        <w:tc>
          <w:tcPr>
            <w:tcW w:w="0" w:type="auto"/>
            <w:tcBorders>
              <w:bottom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8</w:t>
            </w:r>
          </w:p>
        </w:tc>
        <w:tc>
          <w:tcPr>
            <w:tcW w:w="0" w:type="auto"/>
            <w:tcBorders>
              <w:bottom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3</w:t>
            </w:r>
          </w:p>
        </w:tc>
        <w:tc>
          <w:tcPr>
            <w:tcW w:w="0" w:type="auto"/>
            <w:tcBorders>
              <w:bottom w:val="single" w:sz="12" w:space="0" w:color="auto"/>
              <w:right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3</w:t>
            </w:r>
          </w:p>
        </w:tc>
      </w:tr>
      <w:tr w:rsidR="00611134" w:rsidRPr="00D708AA" w:rsidTr="006C6F49">
        <w:trPr>
          <w:trHeight w:val="260"/>
          <w:tblHeader/>
        </w:trPr>
        <w:tc>
          <w:tcPr>
            <w:tcW w:w="0" w:type="auto"/>
            <w:tcBorders>
              <w:top w:val="single" w:sz="12" w:space="0" w:color="auto"/>
              <w:left w:val="single" w:sz="12" w:space="0" w:color="auto"/>
              <w:bottom w:val="single" w:sz="12" w:space="0" w:color="auto"/>
              <w:right w:val="single" w:sz="12" w:space="0" w:color="auto"/>
            </w:tcBorders>
            <w:vAlign w:val="center"/>
            <w:hideMark/>
          </w:tcPr>
          <w:p w:rsidR="00611134" w:rsidRPr="00114E07" w:rsidRDefault="00611134" w:rsidP="0052620C">
            <w:pPr>
              <w:spacing w:before="240"/>
              <w:rPr>
                <w:rFonts w:eastAsia="Times New Roman" w:cs="Arial"/>
                <w:szCs w:val="24"/>
                <w:lang w:eastAsia="en-NZ"/>
              </w:rPr>
            </w:pPr>
            <w:r w:rsidRPr="00114E07">
              <w:rPr>
                <w:rFonts w:eastAsia="Times New Roman" w:cs="Arial"/>
                <w:szCs w:val="24"/>
                <w:lang w:eastAsia="en-NZ"/>
              </w:rPr>
              <w:t>Pancreas</w:t>
            </w:r>
          </w:p>
        </w:tc>
        <w:tc>
          <w:tcPr>
            <w:tcW w:w="0" w:type="auto"/>
            <w:tcBorders>
              <w:top w:val="single" w:sz="12" w:space="0" w:color="auto"/>
              <w:left w:val="single" w:sz="12" w:space="0" w:color="auto"/>
              <w:bottom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2</w:t>
            </w:r>
          </w:p>
        </w:tc>
        <w:tc>
          <w:tcPr>
            <w:tcW w:w="0" w:type="auto"/>
            <w:tcBorders>
              <w:top w:val="single" w:sz="12" w:space="0" w:color="auto"/>
              <w:bottom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3</w:t>
            </w:r>
          </w:p>
        </w:tc>
        <w:tc>
          <w:tcPr>
            <w:tcW w:w="0" w:type="auto"/>
            <w:tcBorders>
              <w:top w:val="single" w:sz="12" w:space="0" w:color="auto"/>
              <w:bottom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3</w:t>
            </w:r>
          </w:p>
        </w:tc>
        <w:tc>
          <w:tcPr>
            <w:tcW w:w="0" w:type="auto"/>
            <w:tcBorders>
              <w:top w:val="single" w:sz="12" w:space="0" w:color="auto"/>
              <w:bottom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2</w:t>
            </w:r>
          </w:p>
        </w:tc>
        <w:tc>
          <w:tcPr>
            <w:tcW w:w="0" w:type="auto"/>
            <w:tcBorders>
              <w:top w:val="single" w:sz="12" w:space="0" w:color="auto"/>
              <w:bottom w:val="single" w:sz="12" w:space="0" w:color="auto"/>
              <w:right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1</w:t>
            </w:r>
          </w:p>
        </w:tc>
      </w:tr>
      <w:tr w:rsidR="00611134" w:rsidRPr="00D708AA" w:rsidTr="006C6F49">
        <w:trPr>
          <w:trHeight w:val="260"/>
          <w:tblHeader/>
        </w:trPr>
        <w:tc>
          <w:tcPr>
            <w:tcW w:w="0" w:type="auto"/>
            <w:tcBorders>
              <w:top w:val="single" w:sz="12" w:space="0" w:color="auto"/>
              <w:left w:val="single" w:sz="12" w:space="0" w:color="auto"/>
              <w:right w:val="single" w:sz="12" w:space="0" w:color="auto"/>
            </w:tcBorders>
            <w:vAlign w:val="center"/>
            <w:hideMark/>
          </w:tcPr>
          <w:p w:rsidR="00611134" w:rsidRPr="00114E07" w:rsidRDefault="00611134" w:rsidP="0052620C">
            <w:pPr>
              <w:spacing w:before="240"/>
              <w:rPr>
                <w:rFonts w:eastAsia="Times New Roman" w:cs="Arial"/>
                <w:szCs w:val="24"/>
                <w:lang w:eastAsia="en-NZ"/>
              </w:rPr>
            </w:pPr>
            <w:r w:rsidRPr="00114E07">
              <w:rPr>
                <w:rFonts w:eastAsia="Times New Roman" w:cs="Arial"/>
                <w:szCs w:val="24"/>
                <w:lang w:eastAsia="en-NZ"/>
              </w:rPr>
              <w:t>Kidneys (deceased donors)</w:t>
            </w:r>
          </w:p>
        </w:tc>
        <w:tc>
          <w:tcPr>
            <w:tcW w:w="0" w:type="auto"/>
            <w:tcBorders>
              <w:top w:val="single" w:sz="12" w:space="0" w:color="auto"/>
              <w:left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54</w:t>
            </w:r>
          </w:p>
        </w:tc>
        <w:tc>
          <w:tcPr>
            <w:tcW w:w="0" w:type="auto"/>
            <w:tcBorders>
              <w:top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50</w:t>
            </w:r>
          </w:p>
        </w:tc>
        <w:tc>
          <w:tcPr>
            <w:tcW w:w="0" w:type="auto"/>
            <w:tcBorders>
              <w:top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61</w:t>
            </w:r>
          </w:p>
        </w:tc>
        <w:tc>
          <w:tcPr>
            <w:tcW w:w="0" w:type="auto"/>
            <w:tcBorders>
              <w:top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54</w:t>
            </w:r>
          </w:p>
        </w:tc>
        <w:tc>
          <w:tcPr>
            <w:tcW w:w="0" w:type="auto"/>
            <w:tcBorders>
              <w:top w:val="single" w:sz="12" w:space="0" w:color="auto"/>
              <w:right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55</w:t>
            </w:r>
          </w:p>
        </w:tc>
      </w:tr>
      <w:tr w:rsidR="00611134" w:rsidRPr="00D708AA" w:rsidTr="006C6F49">
        <w:trPr>
          <w:trHeight w:val="278"/>
          <w:tblHeader/>
        </w:trPr>
        <w:tc>
          <w:tcPr>
            <w:tcW w:w="0" w:type="auto"/>
            <w:tcBorders>
              <w:left w:val="single" w:sz="12" w:space="0" w:color="auto"/>
              <w:bottom w:val="single" w:sz="12" w:space="0" w:color="auto"/>
              <w:right w:val="single" w:sz="12" w:space="0" w:color="auto"/>
            </w:tcBorders>
            <w:vAlign w:val="center"/>
            <w:hideMark/>
          </w:tcPr>
          <w:p w:rsidR="00611134" w:rsidRPr="00114E07" w:rsidRDefault="00611134" w:rsidP="0052620C">
            <w:pPr>
              <w:spacing w:before="240"/>
              <w:rPr>
                <w:rFonts w:eastAsia="Times New Roman" w:cs="Arial"/>
                <w:szCs w:val="24"/>
                <w:lang w:eastAsia="en-NZ"/>
              </w:rPr>
            </w:pPr>
            <w:r w:rsidRPr="00114E07">
              <w:rPr>
                <w:rFonts w:eastAsia="Times New Roman" w:cs="Arial"/>
                <w:szCs w:val="24"/>
                <w:lang w:eastAsia="en-NZ"/>
              </w:rPr>
              <w:t>Kidneys (living donors)</w:t>
            </w:r>
          </w:p>
        </w:tc>
        <w:tc>
          <w:tcPr>
            <w:tcW w:w="0" w:type="auto"/>
            <w:tcBorders>
              <w:left w:val="single" w:sz="12" w:space="0" w:color="auto"/>
              <w:bottom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67</w:t>
            </w:r>
          </w:p>
        </w:tc>
        <w:tc>
          <w:tcPr>
            <w:tcW w:w="0" w:type="auto"/>
            <w:tcBorders>
              <w:bottom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60</w:t>
            </w:r>
          </w:p>
        </w:tc>
        <w:tc>
          <w:tcPr>
            <w:tcW w:w="0" w:type="auto"/>
            <w:tcBorders>
              <w:bottom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57</w:t>
            </w:r>
          </w:p>
        </w:tc>
        <w:tc>
          <w:tcPr>
            <w:tcW w:w="0" w:type="auto"/>
            <w:tcBorders>
              <w:bottom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54</w:t>
            </w:r>
          </w:p>
        </w:tc>
        <w:tc>
          <w:tcPr>
            <w:tcW w:w="0" w:type="auto"/>
            <w:tcBorders>
              <w:bottom w:val="single" w:sz="12" w:space="0" w:color="auto"/>
              <w:right w:val="single" w:sz="12" w:space="0" w:color="auto"/>
            </w:tcBorders>
            <w:vAlign w:val="center"/>
            <w:hideMark/>
          </w:tcPr>
          <w:p w:rsidR="00611134" w:rsidRPr="00114E07" w:rsidRDefault="00611134" w:rsidP="00114E07">
            <w:pPr>
              <w:spacing w:before="240"/>
              <w:rPr>
                <w:rFonts w:eastAsia="Times New Roman" w:cs="Arial"/>
                <w:szCs w:val="24"/>
                <w:lang w:eastAsia="en-NZ"/>
              </w:rPr>
            </w:pPr>
            <w:r w:rsidRPr="00114E07">
              <w:rPr>
                <w:rFonts w:eastAsia="Times New Roman" w:cs="Arial"/>
                <w:szCs w:val="24"/>
                <w:lang w:eastAsia="en-NZ"/>
              </w:rPr>
              <w:t>58</w:t>
            </w:r>
          </w:p>
        </w:tc>
      </w:tr>
    </w:tbl>
    <w:p w:rsidR="00611134" w:rsidRPr="00A5006E" w:rsidRDefault="00B71904" w:rsidP="00A1404E">
      <w:pPr>
        <w:tabs>
          <w:tab w:val="num" w:pos="1163"/>
        </w:tabs>
        <w:spacing w:before="120" w:after="240"/>
        <w:ind w:left="573"/>
        <w:rPr>
          <w:rFonts w:eastAsia="Times New Roman" w:cs="Arial"/>
          <w:sz w:val="20"/>
          <w:szCs w:val="20"/>
        </w:rPr>
      </w:pPr>
      <w:r w:rsidRPr="00A5006E">
        <w:rPr>
          <w:rFonts w:eastAsia="Times New Roman" w:cs="Arial"/>
          <w:sz w:val="20"/>
          <w:szCs w:val="20"/>
        </w:rPr>
        <w:t>Source: Organ Donation New Zealand</w:t>
      </w:r>
    </w:p>
    <w:p w:rsidR="004830A3" w:rsidRPr="00A5006E" w:rsidRDefault="00024F30" w:rsidP="006C6F49">
      <w:pPr>
        <w:pStyle w:val="Heading1"/>
      </w:pPr>
      <w:r>
        <w:t>ADVICE</w:t>
      </w:r>
    </w:p>
    <w:p w:rsidR="00B71904" w:rsidRPr="00A5006E" w:rsidRDefault="00B71904" w:rsidP="00114E07">
      <w:pPr>
        <w:numPr>
          <w:ilvl w:val="0"/>
          <w:numId w:val="2"/>
        </w:numPr>
        <w:tabs>
          <w:tab w:val="num" w:pos="540"/>
          <w:tab w:val="num" w:pos="570"/>
        </w:tabs>
        <w:spacing w:before="240" w:after="120"/>
        <w:ind w:left="573" w:hanging="573"/>
        <w:rPr>
          <w:rFonts w:cs="Arial"/>
          <w:color w:val="000000"/>
          <w:szCs w:val="24"/>
        </w:rPr>
      </w:pPr>
      <w:r w:rsidRPr="00A5006E">
        <w:rPr>
          <w:rFonts w:cs="Arial"/>
          <w:color w:val="000000"/>
          <w:szCs w:val="24"/>
        </w:rPr>
        <w:t>NEAC</w:t>
      </w:r>
      <w:r w:rsidR="006D39BC">
        <w:rPr>
          <w:rFonts w:cs="Arial"/>
          <w:color w:val="000000"/>
          <w:szCs w:val="24"/>
        </w:rPr>
        <w:t xml:space="preserve">’s analysis </w:t>
      </w:r>
      <w:r w:rsidR="00615118">
        <w:rPr>
          <w:rFonts w:cs="Arial"/>
          <w:color w:val="000000"/>
          <w:szCs w:val="24"/>
        </w:rPr>
        <w:t>has identified issues with:</w:t>
      </w:r>
    </w:p>
    <w:p w:rsidR="00B71904" w:rsidRPr="00A5006E" w:rsidRDefault="00615118" w:rsidP="00114E07">
      <w:pPr>
        <w:pStyle w:val="ListParagraph"/>
        <w:numPr>
          <w:ilvl w:val="0"/>
          <w:numId w:val="4"/>
        </w:numPr>
        <w:spacing w:after="60" w:line="240" w:lineRule="auto"/>
        <w:ind w:left="1134" w:hanging="567"/>
        <w:contextualSpacing w:val="0"/>
        <w:rPr>
          <w:rFonts w:eastAsia="Times New Roman" w:cs="Arial"/>
          <w:szCs w:val="24"/>
        </w:rPr>
      </w:pPr>
      <w:r>
        <w:rPr>
          <w:rFonts w:eastAsia="Times New Roman" w:cs="Arial"/>
          <w:szCs w:val="24"/>
        </w:rPr>
        <w:t xml:space="preserve">equity of </w:t>
      </w:r>
      <w:r w:rsidR="00B71904" w:rsidRPr="00A5006E">
        <w:rPr>
          <w:rFonts w:eastAsia="Times New Roman" w:cs="Arial"/>
          <w:szCs w:val="24"/>
        </w:rPr>
        <w:t>access</w:t>
      </w:r>
      <w:r w:rsidR="004629E1">
        <w:rPr>
          <w:rFonts w:eastAsia="Times New Roman" w:cs="Arial"/>
          <w:szCs w:val="24"/>
        </w:rPr>
        <w:t xml:space="preserve"> to living and deceased donor transplantation</w:t>
      </w:r>
    </w:p>
    <w:p w:rsidR="00B71904" w:rsidRPr="000B753A" w:rsidRDefault="002375E3" w:rsidP="00114E07">
      <w:pPr>
        <w:pStyle w:val="ListParagraph"/>
        <w:numPr>
          <w:ilvl w:val="0"/>
          <w:numId w:val="4"/>
        </w:numPr>
        <w:spacing w:after="60" w:line="240" w:lineRule="auto"/>
        <w:ind w:left="1134" w:hanging="567"/>
        <w:contextualSpacing w:val="0"/>
        <w:rPr>
          <w:rFonts w:eastAsia="Times New Roman" w:cs="Arial"/>
          <w:szCs w:val="24"/>
        </w:rPr>
      </w:pPr>
      <w:r w:rsidRPr="000B753A">
        <w:rPr>
          <w:rFonts w:eastAsia="Times New Roman" w:cs="Arial"/>
          <w:szCs w:val="24"/>
        </w:rPr>
        <w:t xml:space="preserve">application of ethical principles to the processes for listing patients and </w:t>
      </w:r>
      <w:r w:rsidR="00B71904" w:rsidRPr="000B753A">
        <w:rPr>
          <w:rFonts w:eastAsia="Times New Roman" w:cs="Arial"/>
          <w:szCs w:val="24"/>
        </w:rPr>
        <w:t>allocat</w:t>
      </w:r>
      <w:r w:rsidRPr="000B753A">
        <w:rPr>
          <w:rFonts w:eastAsia="Times New Roman" w:cs="Arial"/>
          <w:szCs w:val="24"/>
        </w:rPr>
        <w:t>ing</w:t>
      </w:r>
      <w:r w:rsidR="00B71904" w:rsidRPr="000B753A">
        <w:rPr>
          <w:rFonts w:eastAsia="Times New Roman" w:cs="Arial"/>
          <w:szCs w:val="24"/>
        </w:rPr>
        <w:t xml:space="preserve"> </w:t>
      </w:r>
      <w:r w:rsidR="004629E1" w:rsidRPr="000B753A">
        <w:rPr>
          <w:rFonts w:eastAsia="Times New Roman" w:cs="Arial"/>
          <w:szCs w:val="24"/>
        </w:rPr>
        <w:t xml:space="preserve">deceased donor </w:t>
      </w:r>
      <w:r w:rsidR="00B71904" w:rsidRPr="000B753A">
        <w:rPr>
          <w:rFonts w:eastAsia="Times New Roman" w:cs="Arial"/>
          <w:szCs w:val="24"/>
        </w:rPr>
        <w:t>organs</w:t>
      </w:r>
    </w:p>
    <w:p w:rsidR="00B71904" w:rsidRPr="00A5006E" w:rsidRDefault="00B71904" w:rsidP="00114E07">
      <w:pPr>
        <w:pStyle w:val="ListParagraph"/>
        <w:numPr>
          <w:ilvl w:val="0"/>
          <w:numId w:val="4"/>
        </w:numPr>
        <w:spacing w:after="60" w:line="240" w:lineRule="auto"/>
        <w:ind w:left="1134" w:hanging="567"/>
        <w:contextualSpacing w:val="0"/>
        <w:rPr>
          <w:rFonts w:eastAsia="Times New Roman" w:cs="Arial"/>
          <w:szCs w:val="24"/>
        </w:rPr>
      </w:pPr>
      <w:proofErr w:type="gramStart"/>
      <w:r w:rsidRPr="00A5006E">
        <w:rPr>
          <w:rFonts w:eastAsia="Times New Roman" w:cs="Arial"/>
          <w:szCs w:val="24"/>
        </w:rPr>
        <w:t>deceased</w:t>
      </w:r>
      <w:proofErr w:type="gramEnd"/>
      <w:r w:rsidRPr="00A5006E">
        <w:rPr>
          <w:rFonts w:eastAsia="Times New Roman" w:cs="Arial"/>
          <w:szCs w:val="24"/>
        </w:rPr>
        <w:t xml:space="preserve"> donor list numbers</w:t>
      </w:r>
      <w:r w:rsidR="00C174E0">
        <w:rPr>
          <w:rFonts w:eastAsia="Times New Roman" w:cs="Arial"/>
          <w:szCs w:val="24"/>
        </w:rPr>
        <w:t xml:space="preserve"> for kidney</w:t>
      </w:r>
      <w:r w:rsidR="00615118">
        <w:rPr>
          <w:rFonts w:eastAsia="Times New Roman" w:cs="Arial"/>
          <w:szCs w:val="24"/>
        </w:rPr>
        <w:t xml:space="preserve"> transplants</w:t>
      </w:r>
      <w:r w:rsidRPr="00A5006E">
        <w:rPr>
          <w:rFonts w:eastAsia="Times New Roman" w:cs="Arial"/>
          <w:szCs w:val="24"/>
        </w:rPr>
        <w:t>.</w:t>
      </w:r>
    </w:p>
    <w:p w:rsidR="00B71904" w:rsidRPr="00615118" w:rsidRDefault="00615118" w:rsidP="00114E07">
      <w:pPr>
        <w:numPr>
          <w:ilvl w:val="0"/>
          <w:numId w:val="2"/>
        </w:numPr>
        <w:tabs>
          <w:tab w:val="num" w:pos="540"/>
          <w:tab w:val="num" w:pos="570"/>
        </w:tabs>
        <w:spacing w:before="240" w:after="240"/>
        <w:ind w:left="570" w:hanging="570"/>
        <w:rPr>
          <w:rFonts w:cs="Arial"/>
          <w:szCs w:val="24"/>
        </w:rPr>
      </w:pPr>
      <w:r>
        <w:rPr>
          <w:rFonts w:cs="Arial"/>
          <w:szCs w:val="24"/>
        </w:rPr>
        <w:t xml:space="preserve">These issues are outlined below, along with </w:t>
      </w:r>
      <w:r w:rsidR="00B71904" w:rsidRPr="00A5006E">
        <w:rPr>
          <w:rFonts w:cs="Arial"/>
          <w:szCs w:val="24"/>
        </w:rPr>
        <w:t>current responses and recommendations for further work.</w:t>
      </w:r>
    </w:p>
    <w:p w:rsidR="0099656E" w:rsidRPr="00A5006E" w:rsidRDefault="00615118" w:rsidP="006C6F49">
      <w:pPr>
        <w:pStyle w:val="Heading2"/>
      </w:pPr>
      <w:r>
        <w:lastRenderedPageBreak/>
        <w:t>Equity of</w:t>
      </w:r>
      <w:r w:rsidR="00B71904" w:rsidRPr="00A5006E">
        <w:t xml:space="preserve"> </w:t>
      </w:r>
      <w:r w:rsidR="00D87F4E" w:rsidRPr="006C6F49">
        <w:t>access</w:t>
      </w:r>
    </w:p>
    <w:p w:rsidR="00B03EF9" w:rsidRPr="00A5006E" w:rsidRDefault="00B03EF9" w:rsidP="0052620C">
      <w:pPr>
        <w:rPr>
          <w:rFonts w:cs="Arial"/>
          <w:i/>
          <w:szCs w:val="24"/>
        </w:rPr>
      </w:pPr>
      <w:r w:rsidRPr="00A5006E">
        <w:rPr>
          <w:rFonts w:cs="Arial"/>
          <w:i/>
          <w:szCs w:val="24"/>
        </w:rPr>
        <w:t>Issues</w:t>
      </w:r>
    </w:p>
    <w:p w:rsidR="006E201E" w:rsidRPr="00A5006E" w:rsidRDefault="00835D02" w:rsidP="00114E07">
      <w:pPr>
        <w:numPr>
          <w:ilvl w:val="0"/>
          <w:numId w:val="2"/>
        </w:numPr>
        <w:tabs>
          <w:tab w:val="num" w:pos="540"/>
          <w:tab w:val="num" w:pos="570"/>
        </w:tabs>
        <w:spacing w:before="240" w:after="240"/>
        <w:ind w:left="570" w:hanging="570"/>
        <w:rPr>
          <w:rFonts w:cs="Arial"/>
          <w:szCs w:val="24"/>
        </w:rPr>
      </w:pPr>
      <w:r w:rsidRPr="000B753A">
        <w:rPr>
          <w:rFonts w:cs="Arial"/>
          <w:szCs w:val="24"/>
        </w:rPr>
        <w:t>NEAC consid</w:t>
      </w:r>
      <w:r w:rsidR="00B71904" w:rsidRPr="000B753A">
        <w:rPr>
          <w:rFonts w:cs="Arial"/>
          <w:szCs w:val="24"/>
        </w:rPr>
        <w:t>ers that people may be treated differently</w:t>
      </w:r>
      <w:r w:rsidRPr="000B753A">
        <w:rPr>
          <w:rFonts w:cs="Arial"/>
          <w:szCs w:val="24"/>
        </w:rPr>
        <w:t xml:space="preserve"> </w:t>
      </w:r>
      <w:r w:rsidR="002375E3" w:rsidRPr="000B753A">
        <w:rPr>
          <w:rFonts w:cs="Arial"/>
          <w:szCs w:val="24"/>
        </w:rPr>
        <w:t xml:space="preserve">in referral and assessment processes, </w:t>
      </w:r>
      <w:r w:rsidR="00024F30">
        <w:rPr>
          <w:rFonts w:cs="Arial"/>
          <w:szCs w:val="24"/>
        </w:rPr>
        <w:t xml:space="preserve">and when </w:t>
      </w:r>
      <w:r w:rsidR="002375E3" w:rsidRPr="000B753A">
        <w:rPr>
          <w:rFonts w:cs="Arial"/>
          <w:szCs w:val="24"/>
        </w:rPr>
        <w:t xml:space="preserve">receiving an organ transplant or being placed on the deceased donor waiting list. </w:t>
      </w:r>
      <w:r w:rsidR="00EA7265" w:rsidRPr="000B753A">
        <w:rPr>
          <w:rFonts w:cs="Arial"/>
          <w:szCs w:val="24"/>
        </w:rPr>
        <w:t xml:space="preserve">The extent of the </w:t>
      </w:r>
      <w:r w:rsidR="00247BFF" w:rsidRPr="000B753A">
        <w:rPr>
          <w:rFonts w:cs="Arial"/>
          <w:szCs w:val="24"/>
        </w:rPr>
        <w:t>unequal</w:t>
      </w:r>
      <w:r w:rsidR="00EA7265" w:rsidRPr="000B753A">
        <w:rPr>
          <w:rFonts w:cs="Arial"/>
          <w:szCs w:val="24"/>
        </w:rPr>
        <w:t xml:space="preserve"> treatment may differ</w:t>
      </w:r>
      <w:r w:rsidR="00EA7265" w:rsidRPr="00A5006E">
        <w:rPr>
          <w:rFonts w:cs="Arial"/>
          <w:szCs w:val="24"/>
        </w:rPr>
        <w:t xml:space="preserve"> depending on the organ involved.</w:t>
      </w:r>
      <w:r w:rsidRPr="00A5006E">
        <w:rPr>
          <w:rFonts w:cs="Arial"/>
          <w:szCs w:val="24"/>
        </w:rPr>
        <w:t xml:space="preserve"> </w:t>
      </w:r>
    </w:p>
    <w:p w:rsidR="001C082D" w:rsidRDefault="00B02F24" w:rsidP="00114E07">
      <w:pPr>
        <w:numPr>
          <w:ilvl w:val="0"/>
          <w:numId w:val="2"/>
        </w:numPr>
        <w:tabs>
          <w:tab w:val="num" w:pos="540"/>
          <w:tab w:val="num" w:pos="570"/>
        </w:tabs>
        <w:spacing w:before="240" w:after="240"/>
        <w:ind w:left="570" w:hanging="570"/>
        <w:rPr>
          <w:rFonts w:cs="Arial"/>
          <w:szCs w:val="24"/>
        </w:rPr>
      </w:pPr>
      <w:r w:rsidRPr="00A5006E">
        <w:rPr>
          <w:rFonts w:cs="Arial"/>
          <w:szCs w:val="24"/>
        </w:rPr>
        <w:t xml:space="preserve">Literature </w:t>
      </w:r>
      <w:r w:rsidR="00422D82" w:rsidRPr="00A5006E">
        <w:rPr>
          <w:rFonts w:cs="Arial"/>
          <w:szCs w:val="24"/>
        </w:rPr>
        <w:t xml:space="preserve">suggests </w:t>
      </w:r>
      <w:r w:rsidRPr="00A5006E">
        <w:rPr>
          <w:rFonts w:cs="Arial"/>
          <w:szCs w:val="24"/>
        </w:rPr>
        <w:t xml:space="preserve">that Māori and Pacific </w:t>
      </w:r>
      <w:r w:rsidR="00410680">
        <w:rPr>
          <w:rFonts w:cs="Arial"/>
          <w:szCs w:val="24"/>
        </w:rPr>
        <w:t>p</w:t>
      </w:r>
      <w:r w:rsidR="00422D82" w:rsidRPr="00A5006E">
        <w:rPr>
          <w:rFonts w:cs="Arial"/>
          <w:szCs w:val="24"/>
        </w:rPr>
        <w:t xml:space="preserve">eoples </w:t>
      </w:r>
      <w:r w:rsidRPr="00A5006E">
        <w:rPr>
          <w:rFonts w:cs="Arial"/>
          <w:szCs w:val="24"/>
        </w:rPr>
        <w:t>are less likely to receive a transplant compared to New Zealand European</w:t>
      </w:r>
      <w:r w:rsidR="00686580" w:rsidRPr="00A5006E">
        <w:rPr>
          <w:rFonts w:cs="Arial"/>
          <w:szCs w:val="24"/>
        </w:rPr>
        <w:t>.</w:t>
      </w:r>
      <w:r w:rsidRPr="00A5006E">
        <w:rPr>
          <w:rStyle w:val="FootnoteReference"/>
          <w:rFonts w:cs="Arial"/>
          <w:szCs w:val="24"/>
        </w:rPr>
        <w:footnoteReference w:id="4"/>
      </w:r>
      <w:r w:rsidR="00686580" w:rsidRPr="00A5006E">
        <w:rPr>
          <w:rFonts w:cs="Arial"/>
          <w:szCs w:val="24"/>
          <w:vertAlign w:val="superscript"/>
        </w:rPr>
        <w:t>,</w:t>
      </w:r>
      <w:r w:rsidR="00686580" w:rsidRPr="00A5006E">
        <w:rPr>
          <w:rStyle w:val="FootnoteReference"/>
          <w:rFonts w:cs="Arial"/>
          <w:szCs w:val="24"/>
        </w:rPr>
        <w:footnoteReference w:id="5"/>
      </w:r>
      <w:r w:rsidRPr="00A5006E">
        <w:rPr>
          <w:rFonts w:cs="Arial"/>
          <w:szCs w:val="24"/>
        </w:rPr>
        <w:t xml:space="preserve"> </w:t>
      </w:r>
      <w:r w:rsidR="001C082D" w:rsidRPr="00A5006E">
        <w:rPr>
          <w:rFonts w:cs="Arial"/>
          <w:szCs w:val="24"/>
        </w:rPr>
        <w:t>This situation is not limited to New Zealand</w:t>
      </w:r>
      <w:r w:rsidR="00B71904" w:rsidRPr="00A5006E">
        <w:rPr>
          <w:rFonts w:cs="Arial"/>
          <w:szCs w:val="24"/>
        </w:rPr>
        <w:t>;</w:t>
      </w:r>
      <w:r w:rsidR="00422D82" w:rsidRPr="00A5006E">
        <w:rPr>
          <w:rFonts w:cs="Arial"/>
          <w:szCs w:val="24"/>
        </w:rPr>
        <w:t xml:space="preserve"> i</w:t>
      </w:r>
      <w:r w:rsidR="001C082D" w:rsidRPr="00A5006E">
        <w:rPr>
          <w:rFonts w:cs="Arial"/>
          <w:szCs w:val="24"/>
        </w:rPr>
        <w:t xml:space="preserve">ndigenous patients are less likely to receive transplants in other </w:t>
      </w:r>
      <w:r w:rsidR="00422D82" w:rsidRPr="00A5006E">
        <w:rPr>
          <w:rFonts w:cs="Arial"/>
          <w:szCs w:val="24"/>
        </w:rPr>
        <w:t xml:space="preserve">western </w:t>
      </w:r>
      <w:r w:rsidR="001C082D" w:rsidRPr="00A5006E">
        <w:rPr>
          <w:rFonts w:cs="Arial"/>
          <w:szCs w:val="24"/>
        </w:rPr>
        <w:t xml:space="preserve">countries, such as </w:t>
      </w:r>
      <w:r w:rsidR="00B71904" w:rsidRPr="00A5006E">
        <w:rPr>
          <w:rFonts w:cs="Arial"/>
          <w:szCs w:val="24"/>
        </w:rPr>
        <w:t>Canada, Australia and the United</w:t>
      </w:r>
      <w:r w:rsidR="001C082D" w:rsidRPr="00A5006E">
        <w:rPr>
          <w:rFonts w:cs="Arial"/>
          <w:szCs w:val="24"/>
        </w:rPr>
        <w:t xml:space="preserve"> States.</w:t>
      </w:r>
      <w:r w:rsidR="001C082D" w:rsidRPr="00A5006E">
        <w:rPr>
          <w:rStyle w:val="FootnoteReference"/>
          <w:rFonts w:cs="Arial"/>
          <w:szCs w:val="24"/>
        </w:rPr>
        <w:footnoteReference w:id="6"/>
      </w:r>
      <w:r w:rsidR="001C082D" w:rsidRPr="00A5006E">
        <w:rPr>
          <w:rFonts w:cs="Arial"/>
          <w:szCs w:val="24"/>
        </w:rPr>
        <w:t xml:space="preserve"> </w:t>
      </w:r>
    </w:p>
    <w:p w:rsidR="00F831F4" w:rsidRPr="000B753A" w:rsidRDefault="00F831F4" w:rsidP="00114E07">
      <w:pPr>
        <w:numPr>
          <w:ilvl w:val="0"/>
          <w:numId w:val="2"/>
        </w:numPr>
        <w:tabs>
          <w:tab w:val="num" w:pos="540"/>
          <w:tab w:val="num" w:pos="570"/>
        </w:tabs>
        <w:spacing w:before="240" w:after="240"/>
        <w:ind w:left="570" w:hanging="570"/>
        <w:rPr>
          <w:rFonts w:cs="Arial"/>
          <w:szCs w:val="24"/>
        </w:rPr>
      </w:pPr>
      <w:r w:rsidRPr="000B753A">
        <w:rPr>
          <w:rFonts w:cs="Arial"/>
          <w:szCs w:val="24"/>
        </w:rPr>
        <w:t xml:space="preserve">Recent data from the New Zealand Lung Transplant Service suggests that access is improving, at least for Māori. Seven of the 15 lung transplant recipients in 2014 (up to October 2014) were Māori, compared with 14% of all lung transplant recipients since the inception of the Service in March 1993. </w:t>
      </w:r>
    </w:p>
    <w:p w:rsidR="00ED42D6" w:rsidRPr="00A5006E" w:rsidRDefault="00410680" w:rsidP="00114E07">
      <w:pPr>
        <w:numPr>
          <w:ilvl w:val="0"/>
          <w:numId w:val="2"/>
        </w:numPr>
        <w:tabs>
          <w:tab w:val="num" w:pos="540"/>
          <w:tab w:val="num" w:pos="570"/>
        </w:tabs>
        <w:spacing w:before="240" w:after="120"/>
        <w:ind w:left="573" w:hanging="573"/>
        <w:rPr>
          <w:rFonts w:cs="Arial"/>
          <w:szCs w:val="24"/>
        </w:rPr>
      </w:pPr>
      <w:r>
        <w:rPr>
          <w:rFonts w:cs="Arial"/>
          <w:szCs w:val="24"/>
        </w:rPr>
        <w:t xml:space="preserve">A higher prevalence of co-morbidities may </w:t>
      </w:r>
      <w:r w:rsidR="00B02F24" w:rsidRPr="00A5006E">
        <w:rPr>
          <w:rFonts w:cs="Arial"/>
          <w:szCs w:val="24"/>
        </w:rPr>
        <w:t>partly explain</w:t>
      </w:r>
      <w:r>
        <w:rPr>
          <w:rFonts w:cs="Arial"/>
          <w:szCs w:val="24"/>
        </w:rPr>
        <w:t xml:space="preserve"> ethnic differences. O</w:t>
      </w:r>
      <w:r w:rsidR="00B02F24" w:rsidRPr="00A5006E">
        <w:rPr>
          <w:rFonts w:cs="Arial"/>
          <w:szCs w:val="24"/>
        </w:rPr>
        <w:t>ther factors</w:t>
      </w:r>
      <w:r w:rsidR="00ED42D6" w:rsidRPr="00A5006E">
        <w:rPr>
          <w:rFonts w:cs="Arial"/>
          <w:szCs w:val="24"/>
        </w:rPr>
        <w:t xml:space="preserve"> </w:t>
      </w:r>
      <w:r w:rsidR="00B71904" w:rsidRPr="00A5006E">
        <w:rPr>
          <w:rFonts w:cs="Arial"/>
          <w:szCs w:val="24"/>
        </w:rPr>
        <w:t xml:space="preserve">that </w:t>
      </w:r>
      <w:r>
        <w:rPr>
          <w:rFonts w:cs="Arial"/>
          <w:szCs w:val="24"/>
        </w:rPr>
        <w:t>could</w:t>
      </w:r>
      <w:r w:rsidR="00ED42D6" w:rsidRPr="00A5006E">
        <w:rPr>
          <w:rFonts w:cs="Arial"/>
          <w:szCs w:val="24"/>
        </w:rPr>
        <w:t xml:space="preserve"> influence </w:t>
      </w:r>
      <w:r w:rsidR="00B71904" w:rsidRPr="00A5006E">
        <w:rPr>
          <w:rFonts w:cs="Arial"/>
          <w:szCs w:val="24"/>
        </w:rPr>
        <w:t>access include</w:t>
      </w:r>
      <w:r w:rsidR="00ED42D6" w:rsidRPr="00A5006E">
        <w:rPr>
          <w:rFonts w:cs="Arial"/>
          <w:szCs w:val="24"/>
        </w:rPr>
        <w:t>:</w:t>
      </w:r>
    </w:p>
    <w:p w:rsidR="00ED42D6" w:rsidRPr="00A5006E" w:rsidRDefault="00ED42D6" w:rsidP="00114E07">
      <w:pPr>
        <w:pStyle w:val="ListParagraph"/>
        <w:numPr>
          <w:ilvl w:val="0"/>
          <w:numId w:val="4"/>
        </w:numPr>
        <w:spacing w:after="60" w:line="240" w:lineRule="auto"/>
        <w:ind w:left="1134" w:hanging="567"/>
        <w:contextualSpacing w:val="0"/>
        <w:rPr>
          <w:rFonts w:cs="Arial"/>
          <w:szCs w:val="24"/>
        </w:rPr>
      </w:pPr>
      <w:r w:rsidRPr="00A5006E">
        <w:rPr>
          <w:rFonts w:cs="Arial"/>
          <w:szCs w:val="24"/>
        </w:rPr>
        <w:t>delay</w:t>
      </w:r>
      <w:r w:rsidR="00B71904" w:rsidRPr="00A5006E">
        <w:rPr>
          <w:rFonts w:cs="Arial"/>
          <w:szCs w:val="24"/>
        </w:rPr>
        <w:t>s</w:t>
      </w:r>
      <w:r w:rsidRPr="00A5006E">
        <w:rPr>
          <w:rFonts w:cs="Arial"/>
          <w:szCs w:val="24"/>
        </w:rPr>
        <w:t xml:space="preserve"> </w:t>
      </w:r>
      <w:r w:rsidR="00B71904" w:rsidRPr="00A5006E">
        <w:rPr>
          <w:rFonts w:cs="Arial"/>
          <w:szCs w:val="24"/>
        </w:rPr>
        <w:t>in referral from a GP to a specialist to determine suitability for transplant</w:t>
      </w:r>
    </w:p>
    <w:p w:rsidR="00ED42D6" w:rsidRPr="00A5006E" w:rsidRDefault="00B02F24" w:rsidP="00114E07">
      <w:pPr>
        <w:pStyle w:val="ListParagraph"/>
        <w:numPr>
          <w:ilvl w:val="0"/>
          <w:numId w:val="4"/>
        </w:numPr>
        <w:spacing w:after="60" w:line="240" w:lineRule="auto"/>
        <w:ind w:left="1134" w:hanging="567"/>
        <w:contextualSpacing w:val="0"/>
        <w:rPr>
          <w:rFonts w:cs="Arial"/>
          <w:szCs w:val="24"/>
        </w:rPr>
      </w:pPr>
      <w:r w:rsidRPr="00A5006E">
        <w:rPr>
          <w:rFonts w:cs="Arial"/>
          <w:szCs w:val="24"/>
        </w:rPr>
        <w:t>delays from initial referral</w:t>
      </w:r>
      <w:r w:rsidR="00ED42D6" w:rsidRPr="00A5006E">
        <w:rPr>
          <w:rFonts w:cs="Arial"/>
          <w:szCs w:val="24"/>
        </w:rPr>
        <w:t xml:space="preserve"> to </w:t>
      </w:r>
      <w:r w:rsidR="00024F30">
        <w:rPr>
          <w:rFonts w:cs="Arial"/>
          <w:szCs w:val="24"/>
        </w:rPr>
        <w:t xml:space="preserve">seeing </w:t>
      </w:r>
      <w:r w:rsidR="00ED42D6" w:rsidRPr="00A5006E">
        <w:rPr>
          <w:rFonts w:cs="Arial"/>
          <w:szCs w:val="24"/>
        </w:rPr>
        <w:t>a specialist</w:t>
      </w:r>
      <w:r w:rsidR="00024F30">
        <w:rPr>
          <w:rFonts w:cs="Arial"/>
          <w:szCs w:val="24"/>
        </w:rPr>
        <w:t xml:space="preserve"> and</w:t>
      </w:r>
      <w:r w:rsidR="00ED42D6" w:rsidRPr="00A5006E">
        <w:rPr>
          <w:rFonts w:cs="Arial"/>
          <w:szCs w:val="24"/>
        </w:rPr>
        <w:t xml:space="preserve"> being placed on the waiting list</w:t>
      </w:r>
    </w:p>
    <w:p w:rsidR="00ED42D6" w:rsidRPr="00A5006E" w:rsidRDefault="00B02F24" w:rsidP="00114E07">
      <w:pPr>
        <w:pStyle w:val="ListParagraph"/>
        <w:numPr>
          <w:ilvl w:val="0"/>
          <w:numId w:val="4"/>
        </w:numPr>
        <w:spacing w:after="60" w:line="240" w:lineRule="auto"/>
        <w:ind w:left="1134" w:hanging="567"/>
        <w:contextualSpacing w:val="0"/>
        <w:rPr>
          <w:rFonts w:cs="Arial"/>
          <w:szCs w:val="24"/>
        </w:rPr>
      </w:pPr>
      <w:r w:rsidRPr="00A5006E">
        <w:rPr>
          <w:rFonts w:cs="Arial"/>
          <w:szCs w:val="24"/>
        </w:rPr>
        <w:t>communication</w:t>
      </w:r>
      <w:r w:rsidR="00ED42D6" w:rsidRPr="00A5006E">
        <w:rPr>
          <w:rFonts w:cs="Arial"/>
          <w:szCs w:val="24"/>
        </w:rPr>
        <w:t xml:space="preserve"> between doctors and patients</w:t>
      </w:r>
      <w:r w:rsidRPr="00A5006E">
        <w:rPr>
          <w:rFonts w:cs="Arial"/>
          <w:szCs w:val="24"/>
        </w:rPr>
        <w:t xml:space="preserve">  </w:t>
      </w:r>
    </w:p>
    <w:p w:rsidR="00B02F24" w:rsidRPr="00A5006E" w:rsidRDefault="00B02F24" w:rsidP="00114E07">
      <w:pPr>
        <w:pStyle w:val="ListParagraph"/>
        <w:numPr>
          <w:ilvl w:val="0"/>
          <w:numId w:val="4"/>
        </w:numPr>
        <w:spacing w:after="60" w:line="240" w:lineRule="auto"/>
        <w:ind w:left="1134" w:hanging="567"/>
        <w:contextualSpacing w:val="0"/>
        <w:rPr>
          <w:rFonts w:cs="Arial"/>
          <w:szCs w:val="24"/>
        </w:rPr>
      </w:pPr>
      <w:r w:rsidRPr="00A5006E">
        <w:rPr>
          <w:rFonts w:cs="Arial"/>
          <w:szCs w:val="24"/>
        </w:rPr>
        <w:t>health literacy</w:t>
      </w:r>
    </w:p>
    <w:p w:rsidR="00835D02" w:rsidRPr="00A5006E" w:rsidRDefault="00835D02" w:rsidP="00114E07">
      <w:pPr>
        <w:pStyle w:val="ListParagraph"/>
        <w:numPr>
          <w:ilvl w:val="0"/>
          <w:numId w:val="4"/>
        </w:numPr>
        <w:spacing w:after="60" w:line="240" w:lineRule="auto"/>
        <w:ind w:left="1134" w:hanging="567"/>
        <w:contextualSpacing w:val="0"/>
        <w:rPr>
          <w:rFonts w:eastAsia="Times New Roman" w:cs="Arial"/>
          <w:szCs w:val="24"/>
        </w:rPr>
      </w:pPr>
      <w:r w:rsidRPr="00A5006E">
        <w:rPr>
          <w:rFonts w:eastAsia="Times New Roman" w:cs="Arial"/>
          <w:szCs w:val="24"/>
        </w:rPr>
        <w:t>regional variability in gaining access to tests; some tests can only be done in</w:t>
      </w:r>
      <w:r w:rsidR="00B71904" w:rsidRPr="00A5006E">
        <w:rPr>
          <w:rFonts w:eastAsia="Times New Roman" w:cs="Arial"/>
          <w:szCs w:val="24"/>
        </w:rPr>
        <w:t xml:space="preserve"> the</w:t>
      </w:r>
      <w:r w:rsidRPr="00A5006E">
        <w:rPr>
          <w:rFonts w:eastAsia="Times New Roman" w:cs="Arial"/>
          <w:szCs w:val="24"/>
        </w:rPr>
        <w:t xml:space="preserve"> main centres or by a visiting physician</w:t>
      </w:r>
    </w:p>
    <w:p w:rsidR="00835D02" w:rsidRPr="00A5006E" w:rsidRDefault="00835D02" w:rsidP="00114E07">
      <w:pPr>
        <w:pStyle w:val="ListParagraph"/>
        <w:numPr>
          <w:ilvl w:val="0"/>
          <w:numId w:val="4"/>
        </w:numPr>
        <w:spacing w:after="60" w:line="240" w:lineRule="auto"/>
        <w:ind w:left="1134" w:hanging="567"/>
        <w:contextualSpacing w:val="0"/>
        <w:rPr>
          <w:rFonts w:eastAsia="Times New Roman" w:cs="Arial"/>
          <w:szCs w:val="24"/>
        </w:rPr>
      </w:pPr>
      <w:r w:rsidRPr="00A5006E">
        <w:rPr>
          <w:rFonts w:eastAsia="Times New Roman" w:cs="Arial"/>
          <w:szCs w:val="24"/>
        </w:rPr>
        <w:t>logistics</w:t>
      </w:r>
      <w:r w:rsidR="001C082D" w:rsidRPr="00A5006E">
        <w:rPr>
          <w:rFonts w:eastAsia="Times New Roman" w:cs="Arial"/>
          <w:szCs w:val="24"/>
        </w:rPr>
        <w:t xml:space="preserve"> and </w:t>
      </w:r>
      <w:r w:rsidRPr="00A5006E">
        <w:rPr>
          <w:rFonts w:eastAsia="Times New Roman" w:cs="Arial"/>
          <w:szCs w:val="24"/>
        </w:rPr>
        <w:t>resource issues eg, transport issues for patients living in remote areas</w:t>
      </w:r>
      <w:r w:rsidR="00B71904" w:rsidRPr="00A5006E">
        <w:rPr>
          <w:rFonts w:eastAsia="Times New Roman" w:cs="Arial"/>
          <w:szCs w:val="24"/>
        </w:rPr>
        <w:t>,</w:t>
      </w:r>
      <w:r w:rsidRPr="00A5006E">
        <w:rPr>
          <w:rFonts w:eastAsia="Times New Roman" w:cs="Arial"/>
          <w:szCs w:val="24"/>
        </w:rPr>
        <w:t xml:space="preserve"> lack of theatre or surgeon time, or prioritising other surgery over </w:t>
      </w:r>
      <w:r w:rsidR="004629E1">
        <w:rPr>
          <w:rFonts w:eastAsia="Times New Roman" w:cs="Arial"/>
          <w:szCs w:val="24"/>
        </w:rPr>
        <w:t xml:space="preserve">living donor </w:t>
      </w:r>
      <w:r w:rsidRPr="00A5006E">
        <w:rPr>
          <w:rFonts w:eastAsia="Times New Roman" w:cs="Arial"/>
          <w:szCs w:val="24"/>
        </w:rPr>
        <w:t>organ transplants</w:t>
      </w:r>
      <w:r w:rsidR="004629E1">
        <w:rPr>
          <w:rFonts w:eastAsia="Times New Roman" w:cs="Arial"/>
          <w:szCs w:val="24"/>
        </w:rPr>
        <w:t xml:space="preserve"> (deceased donor transplants are emergency operations)</w:t>
      </w:r>
      <w:r w:rsidRPr="00A5006E">
        <w:rPr>
          <w:rFonts w:eastAsia="Times New Roman" w:cs="Arial"/>
          <w:szCs w:val="24"/>
        </w:rPr>
        <w:t>.</w:t>
      </w:r>
    </w:p>
    <w:p w:rsidR="00AC6869" w:rsidRPr="00A5006E" w:rsidRDefault="00615118" w:rsidP="00114E07">
      <w:pPr>
        <w:tabs>
          <w:tab w:val="num" w:pos="1163"/>
        </w:tabs>
        <w:spacing w:before="240" w:after="240"/>
        <w:rPr>
          <w:rFonts w:cs="Arial"/>
          <w:i/>
          <w:szCs w:val="24"/>
        </w:rPr>
      </w:pPr>
      <w:r>
        <w:rPr>
          <w:rFonts w:cs="Arial"/>
          <w:i/>
          <w:szCs w:val="24"/>
        </w:rPr>
        <w:t>Current response</w:t>
      </w:r>
    </w:p>
    <w:p w:rsidR="00ED513D" w:rsidRPr="00A5006E" w:rsidRDefault="00811201" w:rsidP="00114E07">
      <w:pPr>
        <w:numPr>
          <w:ilvl w:val="0"/>
          <w:numId w:val="2"/>
        </w:numPr>
        <w:tabs>
          <w:tab w:val="num" w:pos="540"/>
          <w:tab w:val="num" w:pos="570"/>
        </w:tabs>
        <w:spacing w:before="240" w:after="240"/>
        <w:ind w:left="570" w:hanging="570"/>
        <w:rPr>
          <w:rFonts w:cs="Arial"/>
          <w:szCs w:val="24"/>
        </w:rPr>
      </w:pPr>
      <w:r w:rsidRPr="00A5006E">
        <w:rPr>
          <w:rFonts w:cs="Arial"/>
          <w:szCs w:val="24"/>
        </w:rPr>
        <w:t>Current Ministry of Health initiatives aim to address barrier</w:t>
      </w:r>
      <w:r w:rsidR="00A64473" w:rsidRPr="00A5006E">
        <w:rPr>
          <w:rFonts w:cs="Arial"/>
          <w:szCs w:val="24"/>
        </w:rPr>
        <w:t>s</w:t>
      </w:r>
      <w:r w:rsidRPr="00A5006E">
        <w:rPr>
          <w:rFonts w:cs="Arial"/>
          <w:szCs w:val="24"/>
        </w:rPr>
        <w:t xml:space="preserve"> to live kidney donation through improving communication and support for patients and families, and increasing consistency across D</w:t>
      </w:r>
      <w:r w:rsidR="00D90FC6">
        <w:rPr>
          <w:rFonts w:cs="Arial"/>
          <w:szCs w:val="24"/>
        </w:rPr>
        <w:t xml:space="preserve">istrict </w:t>
      </w:r>
      <w:r w:rsidRPr="00A5006E">
        <w:rPr>
          <w:rFonts w:cs="Arial"/>
          <w:szCs w:val="24"/>
        </w:rPr>
        <w:t>H</w:t>
      </w:r>
      <w:r w:rsidR="00D90FC6">
        <w:rPr>
          <w:rFonts w:cs="Arial"/>
          <w:szCs w:val="24"/>
        </w:rPr>
        <w:t xml:space="preserve">ealth </w:t>
      </w:r>
      <w:r w:rsidRPr="00A5006E">
        <w:rPr>
          <w:rFonts w:cs="Arial"/>
          <w:szCs w:val="24"/>
        </w:rPr>
        <w:t>B</w:t>
      </w:r>
      <w:r w:rsidR="00D90FC6">
        <w:rPr>
          <w:rFonts w:cs="Arial"/>
          <w:szCs w:val="24"/>
        </w:rPr>
        <w:t>oard</w:t>
      </w:r>
      <w:r w:rsidRPr="00A5006E">
        <w:rPr>
          <w:rFonts w:cs="Arial"/>
          <w:szCs w:val="24"/>
        </w:rPr>
        <w:t>s</w:t>
      </w:r>
      <w:r w:rsidR="00D90FC6">
        <w:rPr>
          <w:rFonts w:cs="Arial"/>
          <w:szCs w:val="24"/>
        </w:rPr>
        <w:t xml:space="preserve"> (DHBs)</w:t>
      </w:r>
      <w:r w:rsidR="002375E3">
        <w:rPr>
          <w:rFonts w:cs="Arial"/>
          <w:szCs w:val="24"/>
        </w:rPr>
        <w:t>.</w:t>
      </w:r>
    </w:p>
    <w:p w:rsidR="00ED513D" w:rsidRPr="00A5006E" w:rsidRDefault="00D90FC6" w:rsidP="00114E07">
      <w:pPr>
        <w:pStyle w:val="ListParagraph"/>
        <w:numPr>
          <w:ilvl w:val="0"/>
          <w:numId w:val="4"/>
        </w:numPr>
        <w:spacing w:after="120" w:line="240" w:lineRule="auto"/>
        <w:ind w:left="1134" w:hanging="567"/>
        <w:contextualSpacing w:val="0"/>
        <w:rPr>
          <w:rFonts w:eastAsia="Times New Roman" w:cs="Arial"/>
          <w:szCs w:val="24"/>
        </w:rPr>
      </w:pPr>
      <w:r>
        <w:rPr>
          <w:rFonts w:eastAsia="Times New Roman" w:cs="Arial"/>
          <w:szCs w:val="24"/>
        </w:rPr>
        <w:lastRenderedPageBreak/>
        <w:t>A</w:t>
      </w:r>
      <w:r w:rsidRPr="00A5006E">
        <w:rPr>
          <w:rFonts w:eastAsia="Times New Roman" w:cs="Arial"/>
          <w:szCs w:val="24"/>
        </w:rPr>
        <w:t xml:space="preserve"> </w:t>
      </w:r>
      <w:r w:rsidR="00F54992" w:rsidRPr="00A5006E">
        <w:rPr>
          <w:rFonts w:eastAsia="Times New Roman" w:cs="Arial"/>
          <w:szCs w:val="24"/>
        </w:rPr>
        <w:t xml:space="preserve">pilot programme in Counties-Manukau DHB aims to increase the number of live kidney donors through </w:t>
      </w:r>
      <w:r w:rsidR="00410680">
        <w:rPr>
          <w:rFonts w:eastAsia="Times New Roman" w:cs="Arial"/>
          <w:szCs w:val="24"/>
        </w:rPr>
        <w:t>new</w:t>
      </w:r>
      <w:r w:rsidR="00F54992" w:rsidRPr="00A5006E">
        <w:rPr>
          <w:rFonts w:eastAsia="Times New Roman" w:cs="Arial"/>
          <w:szCs w:val="24"/>
        </w:rPr>
        <w:t xml:space="preserve"> educational resources and community</w:t>
      </w:r>
      <w:r w:rsidR="00FE42B0" w:rsidRPr="00A5006E">
        <w:rPr>
          <w:rFonts w:eastAsia="Times New Roman" w:cs="Arial"/>
          <w:szCs w:val="24"/>
        </w:rPr>
        <w:t>-</w:t>
      </w:r>
      <w:r w:rsidR="00F54992" w:rsidRPr="00A5006E">
        <w:rPr>
          <w:rFonts w:eastAsia="Times New Roman" w:cs="Arial"/>
          <w:szCs w:val="24"/>
        </w:rPr>
        <w:t xml:space="preserve">based family educators. </w:t>
      </w:r>
    </w:p>
    <w:p w:rsidR="00ED513D" w:rsidRPr="00A5006E" w:rsidRDefault="00ED42D6" w:rsidP="00114E07">
      <w:pPr>
        <w:pStyle w:val="ListParagraph"/>
        <w:numPr>
          <w:ilvl w:val="0"/>
          <w:numId w:val="4"/>
        </w:numPr>
        <w:spacing w:after="120" w:line="240" w:lineRule="auto"/>
        <w:ind w:left="1134" w:hanging="567"/>
        <w:contextualSpacing w:val="0"/>
        <w:rPr>
          <w:rFonts w:eastAsia="Times New Roman" w:cs="Arial"/>
          <w:szCs w:val="24"/>
        </w:rPr>
      </w:pPr>
      <w:r w:rsidRPr="00A5006E">
        <w:rPr>
          <w:rFonts w:eastAsia="Times New Roman" w:cs="Arial"/>
          <w:szCs w:val="24"/>
        </w:rPr>
        <w:t>Live Kidney Donation Aotearoa</w:t>
      </w:r>
      <w:r w:rsidRPr="00A5006E">
        <w:rPr>
          <w:rStyle w:val="FootnoteReference"/>
          <w:rFonts w:eastAsia="Times New Roman" w:cs="Arial"/>
          <w:szCs w:val="24"/>
        </w:rPr>
        <w:footnoteReference w:id="7"/>
      </w:r>
      <w:r w:rsidR="00825F51" w:rsidRPr="00A5006E">
        <w:rPr>
          <w:rFonts w:eastAsia="Times New Roman" w:cs="Arial"/>
          <w:szCs w:val="24"/>
        </w:rPr>
        <w:t xml:space="preserve"> </w:t>
      </w:r>
      <w:r w:rsidR="00B519F2">
        <w:rPr>
          <w:rFonts w:eastAsia="Times New Roman" w:cs="Arial"/>
          <w:szCs w:val="24"/>
        </w:rPr>
        <w:t xml:space="preserve">has developed </w:t>
      </w:r>
      <w:r w:rsidR="00C2704E" w:rsidRPr="00A5006E">
        <w:rPr>
          <w:rFonts w:eastAsia="Times New Roman" w:cs="Arial"/>
          <w:szCs w:val="24"/>
        </w:rPr>
        <w:t>r</w:t>
      </w:r>
      <w:r w:rsidR="00ED513D" w:rsidRPr="00A5006E">
        <w:rPr>
          <w:rFonts w:eastAsia="Times New Roman" w:cs="Arial"/>
          <w:szCs w:val="24"/>
        </w:rPr>
        <w:t>esources</w:t>
      </w:r>
      <w:r w:rsidR="00825F51" w:rsidRPr="00A5006E">
        <w:rPr>
          <w:rFonts w:eastAsia="Times New Roman" w:cs="Arial"/>
          <w:szCs w:val="24"/>
        </w:rPr>
        <w:t>, with input from all services involved in kidney donation and transplantation,</w:t>
      </w:r>
      <w:r w:rsidR="00ED513D" w:rsidRPr="00A5006E">
        <w:rPr>
          <w:rFonts w:eastAsia="Times New Roman" w:cs="Arial"/>
          <w:szCs w:val="24"/>
        </w:rPr>
        <w:t xml:space="preserve"> for patients considering a live kidney transplant</w:t>
      </w:r>
      <w:r w:rsidR="00AC6869" w:rsidRPr="00A5006E">
        <w:rPr>
          <w:rFonts w:eastAsia="Times New Roman" w:cs="Arial"/>
          <w:szCs w:val="24"/>
        </w:rPr>
        <w:t xml:space="preserve">. These aim to be </w:t>
      </w:r>
      <w:r w:rsidR="00C2704E" w:rsidRPr="00A5006E">
        <w:rPr>
          <w:rFonts w:eastAsia="Times New Roman" w:cs="Arial"/>
          <w:szCs w:val="24"/>
        </w:rPr>
        <w:t>clear, informative and accessible to anyone</w:t>
      </w:r>
      <w:r w:rsidR="00ED513D" w:rsidRPr="00A5006E">
        <w:rPr>
          <w:rFonts w:eastAsia="Times New Roman" w:cs="Arial"/>
          <w:szCs w:val="24"/>
        </w:rPr>
        <w:t xml:space="preserve">. </w:t>
      </w:r>
    </w:p>
    <w:p w:rsidR="00825F51" w:rsidRPr="00A5006E" w:rsidRDefault="00825F51" w:rsidP="00114E07">
      <w:pPr>
        <w:pStyle w:val="ListParagraph"/>
        <w:numPr>
          <w:ilvl w:val="0"/>
          <w:numId w:val="4"/>
        </w:numPr>
        <w:spacing w:after="120" w:line="240" w:lineRule="auto"/>
        <w:ind w:left="1134" w:hanging="567"/>
        <w:contextualSpacing w:val="0"/>
        <w:rPr>
          <w:rFonts w:eastAsia="Times New Roman" w:cs="Arial"/>
          <w:szCs w:val="24"/>
        </w:rPr>
      </w:pPr>
      <w:r w:rsidRPr="00A5006E">
        <w:rPr>
          <w:rFonts w:eastAsia="Times New Roman" w:cs="Arial"/>
          <w:szCs w:val="24"/>
        </w:rPr>
        <w:t>The</w:t>
      </w:r>
      <w:r w:rsidR="00B519F2">
        <w:rPr>
          <w:rFonts w:eastAsia="Times New Roman" w:cs="Arial"/>
          <w:szCs w:val="24"/>
        </w:rPr>
        <w:t xml:space="preserve"> new</w:t>
      </w:r>
      <w:r w:rsidRPr="00A5006E">
        <w:rPr>
          <w:rFonts w:eastAsia="Times New Roman" w:cs="Arial"/>
          <w:szCs w:val="24"/>
        </w:rPr>
        <w:t xml:space="preserve"> National </w:t>
      </w:r>
      <w:r w:rsidR="00611134" w:rsidRPr="00A5006E">
        <w:rPr>
          <w:rFonts w:eastAsia="Times New Roman" w:cs="Arial"/>
          <w:szCs w:val="24"/>
        </w:rPr>
        <w:t xml:space="preserve">Renal Transplant </w:t>
      </w:r>
      <w:r w:rsidRPr="00A5006E">
        <w:rPr>
          <w:rFonts w:eastAsia="Times New Roman" w:cs="Arial"/>
          <w:szCs w:val="24"/>
        </w:rPr>
        <w:t xml:space="preserve">Service </w:t>
      </w:r>
      <w:r w:rsidR="00B519F2">
        <w:rPr>
          <w:rFonts w:eastAsia="Times New Roman" w:cs="Arial"/>
          <w:szCs w:val="24"/>
        </w:rPr>
        <w:t xml:space="preserve">aims to </w:t>
      </w:r>
      <w:r w:rsidR="00B519F2" w:rsidRPr="00B519F2">
        <w:rPr>
          <w:rFonts w:eastAsia="Times New Roman" w:cs="Arial"/>
          <w:szCs w:val="24"/>
        </w:rPr>
        <w:t>better co-ordinate transplantation services across the country and increase transplant numbers</w:t>
      </w:r>
      <w:r w:rsidRPr="00A5006E">
        <w:rPr>
          <w:rFonts w:eastAsia="Times New Roman" w:cs="Arial"/>
          <w:szCs w:val="24"/>
        </w:rPr>
        <w:t xml:space="preserve">. </w:t>
      </w:r>
    </w:p>
    <w:p w:rsidR="00D87F4E" w:rsidRPr="00A5006E" w:rsidRDefault="008563B0" w:rsidP="00114E07">
      <w:pPr>
        <w:numPr>
          <w:ilvl w:val="0"/>
          <w:numId w:val="2"/>
        </w:numPr>
        <w:tabs>
          <w:tab w:val="num" w:pos="540"/>
          <w:tab w:val="num" w:pos="570"/>
        </w:tabs>
        <w:spacing w:before="240" w:after="240"/>
        <w:ind w:left="570" w:hanging="570"/>
        <w:rPr>
          <w:rFonts w:cs="Arial"/>
          <w:szCs w:val="24"/>
        </w:rPr>
      </w:pPr>
      <w:r w:rsidRPr="00A5006E">
        <w:rPr>
          <w:rFonts w:cs="Arial"/>
          <w:szCs w:val="24"/>
        </w:rPr>
        <w:t>Transplant units make considerable efforts to produce resources</w:t>
      </w:r>
      <w:r w:rsidR="00AD58A8" w:rsidRPr="00A5006E">
        <w:rPr>
          <w:rFonts w:cs="Arial"/>
          <w:szCs w:val="24"/>
        </w:rPr>
        <w:t>, both written and verbal,</w:t>
      </w:r>
      <w:r w:rsidRPr="00A5006E">
        <w:rPr>
          <w:rFonts w:cs="Arial"/>
          <w:szCs w:val="24"/>
        </w:rPr>
        <w:t xml:space="preserve"> for patients.</w:t>
      </w:r>
      <w:r w:rsidR="00EA7265" w:rsidRPr="00A5006E">
        <w:rPr>
          <w:rFonts w:cs="Arial"/>
          <w:szCs w:val="24"/>
        </w:rPr>
        <w:t xml:space="preserve"> These resources are aimed at improving health literacy, a factor implicated in </w:t>
      </w:r>
      <w:r w:rsidR="00811201" w:rsidRPr="00A5006E">
        <w:rPr>
          <w:rFonts w:cs="Arial"/>
          <w:szCs w:val="24"/>
        </w:rPr>
        <w:t xml:space="preserve">unequal </w:t>
      </w:r>
      <w:r w:rsidR="00EA7265" w:rsidRPr="00A5006E">
        <w:rPr>
          <w:rFonts w:cs="Arial"/>
          <w:szCs w:val="24"/>
        </w:rPr>
        <w:t>access.</w:t>
      </w:r>
      <w:r w:rsidRPr="00A5006E">
        <w:rPr>
          <w:rFonts w:cs="Arial"/>
          <w:szCs w:val="24"/>
        </w:rPr>
        <w:t xml:space="preserve"> </w:t>
      </w:r>
    </w:p>
    <w:p w:rsidR="00A70496" w:rsidRPr="00A5006E" w:rsidRDefault="00A70496" w:rsidP="00114E07">
      <w:pPr>
        <w:tabs>
          <w:tab w:val="num" w:pos="1163"/>
        </w:tabs>
        <w:spacing w:before="240" w:after="240"/>
        <w:rPr>
          <w:rFonts w:cs="Arial"/>
          <w:i/>
          <w:szCs w:val="24"/>
        </w:rPr>
      </w:pPr>
      <w:r w:rsidRPr="00A5006E">
        <w:rPr>
          <w:rFonts w:cs="Arial"/>
          <w:i/>
          <w:szCs w:val="24"/>
        </w:rPr>
        <w:t>Recommendations</w:t>
      </w:r>
    </w:p>
    <w:p w:rsidR="00F04F29" w:rsidRPr="00A5006E" w:rsidRDefault="00410680" w:rsidP="00114E07">
      <w:pPr>
        <w:numPr>
          <w:ilvl w:val="0"/>
          <w:numId w:val="2"/>
        </w:numPr>
        <w:tabs>
          <w:tab w:val="num" w:pos="540"/>
          <w:tab w:val="num" w:pos="570"/>
        </w:tabs>
        <w:spacing w:before="240" w:after="240"/>
        <w:ind w:left="570" w:hanging="570"/>
        <w:rPr>
          <w:rFonts w:cs="Arial"/>
          <w:szCs w:val="24"/>
        </w:rPr>
      </w:pPr>
      <w:r>
        <w:rPr>
          <w:rFonts w:cs="Arial"/>
          <w:szCs w:val="24"/>
        </w:rPr>
        <w:t xml:space="preserve">There is a lack of clarity on the reasons for differential access and the relative </w:t>
      </w:r>
      <w:r w:rsidR="00250850" w:rsidRPr="00A5006E">
        <w:rPr>
          <w:rFonts w:cs="Arial"/>
          <w:szCs w:val="24"/>
        </w:rPr>
        <w:t xml:space="preserve">importance of various factors </w:t>
      </w:r>
      <w:r w:rsidR="00615118">
        <w:rPr>
          <w:rFonts w:cs="Arial"/>
          <w:szCs w:val="24"/>
        </w:rPr>
        <w:t>(</w:t>
      </w:r>
      <w:r w:rsidR="009A39CD">
        <w:rPr>
          <w:rFonts w:cs="Arial"/>
          <w:szCs w:val="24"/>
        </w:rPr>
        <w:t xml:space="preserve">discussed </w:t>
      </w:r>
      <w:r w:rsidR="00615118">
        <w:rPr>
          <w:rFonts w:cs="Arial"/>
          <w:szCs w:val="24"/>
        </w:rPr>
        <w:t>in paragraph 18)</w:t>
      </w:r>
      <w:r>
        <w:rPr>
          <w:rFonts w:cs="Arial"/>
          <w:szCs w:val="24"/>
        </w:rPr>
        <w:t>. As a result,</w:t>
      </w:r>
      <w:r w:rsidR="00B86D1C" w:rsidRPr="00A5006E">
        <w:rPr>
          <w:rFonts w:cs="Arial"/>
          <w:szCs w:val="24"/>
        </w:rPr>
        <w:t xml:space="preserve"> initiatives aimed at improving access to transplants may </w:t>
      </w:r>
      <w:r w:rsidR="002375E3">
        <w:rPr>
          <w:rFonts w:cs="Arial"/>
          <w:szCs w:val="24"/>
        </w:rPr>
        <w:t>be poorly targeted and less effective</w:t>
      </w:r>
      <w:r w:rsidR="00B86D1C" w:rsidRPr="00A5006E">
        <w:rPr>
          <w:rFonts w:cs="Arial"/>
          <w:szCs w:val="24"/>
        </w:rPr>
        <w:t xml:space="preserve">. </w:t>
      </w:r>
    </w:p>
    <w:p w:rsidR="00A47132" w:rsidRPr="00A5006E" w:rsidRDefault="00A70496" w:rsidP="00114E07">
      <w:pPr>
        <w:numPr>
          <w:ilvl w:val="0"/>
          <w:numId w:val="2"/>
        </w:numPr>
        <w:tabs>
          <w:tab w:val="num" w:pos="540"/>
          <w:tab w:val="num" w:pos="570"/>
        </w:tabs>
        <w:spacing w:before="240" w:after="240"/>
        <w:ind w:left="570" w:hanging="570"/>
        <w:rPr>
          <w:rFonts w:cs="Arial"/>
          <w:szCs w:val="24"/>
        </w:rPr>
      </w:pPr>
      <w:r w:rsidRPr="00A5006E">
        <w:rPr>
          <w:rFonts w:cs="Arial"/>
          <w:szCs w:val="24"/>
        </w:rPr>
        <w:t xml:space="preserve">NEAC </w:t>
      </w:r>
      <w:r w:rsidR="002375E3">
        <w:rPr>
          <w:rFonts w:cs="Arial"/>
          <w:szCs w:val="24"/>
        </w:rPr>
        <w:t xml:space="preserve">recommends </w:t>
      </w:r>
      <w:r w:rsidR="00615118">
        <w:rPr>
          <w:rFonts w:cs="Arial"/>
          <w:szCs w:val="24"/>
        </w:rPr>
        <w:t xml:space="preserve">that you </w:t>
      </w:r>
      <w:r w:rsidR="00A2669C">
        <w:rPr>
          <w:rFonts w:cs="Arial"/>
          <w:szCs w:val="24"/>
        </w:rPr>
        <w:t xml:space="preserve">direct the Ministry of Health to lead work </w:t>
      </w:r>
      <w:r w:rsidR="00A2669C" w:rsidRPr="00A5006E">
        <w:rPr>
          <w:rFonts w:cs="Arial"/>
          <w:szCs w:val="24"/>
        </w:rPr>
        <w:t xml:space="preserve">to better understand the </w:t>
      </w:r>
      <w:r w:rsidR="00A2669C">
        <w:rPr>
          <w:rFonts w:cs="Arial"/>
          <w:szCs w:val="24"/>
        </w:rPr>
        <w:t xml:space="preserve">clinical and non-clinical </w:t>
      </w:r>
      <w:r w:rsidR="00A2669C" w:rsidRPr="00A5006E">
        <w:rPr>
          <w:rFonts w:cs="Arial"/>
          <w:szCs w:val="24"/>
        </w:rPr>
        <w:t>factors that influence patient access</w:t>
      </w:r>
      <w:r w:rsidR="00A2669C">
        <w:rPr>
          <w:rFonts w:cs="Arial"/>
          <w:szCs w:val="24"/>
        </w:rPr>
        <w:t xml:space="preserve"> to transplants</w:t>
      </w:r>
      <w:r w:rsidR="00D87F4E" w:rsidRPr="00A5006E">
        <w:rPr>
          <w:rFonts w:cs="Arial"/>
          <w:szCs w:val="24"/>
        </w:rPr>
        <w:t xml:space="preserve">. </w:t>
      </w:r>
      <w:r w:rsidR="00811201" w:rsidRPr="00A5006E">
        <w:rPr>
          <w:rFonts w:cs="Arial"/>
          <w:szCs w:val="24"/>
        </w:rPr>
        <w:t xml:space="preserve">It may also be worth exploring how </w:t>
      </w:r>
      <w:r w:rsidR="00A47132" w:rsidRPr="00A5006E">
        <w:rPr>
          <w:rFonts w:cs="Arial"/>
          <w:szCs w:val="24"/>
        </w:rPr>
        <w:t>regional variability and logistics/resource issues affect access</w:t>
      </w:r>
      <w:r w:rsidR="00B86D1C" w:rsidRPr="00A5006E">
        <w:rPr>
          <w:rFonts w:cs="Arial"/>
          <w:szCs w:val="24"/>
        </w:rPr>
        <w:t xml:space="preserve">. </w:t>
      </w:r>
      <w:r w:rsidR="00A47132" w:rsidRPr="00A5006E">
        <w:rPr>
          <w:rFonts w:cs="Arial"/>
          <w:szCs w:val="24"/>
        </w:rPr>
        <w:t xml:space="preserve"> </w:t>
      </w:r>
    </w:p>
    <w:p w:rsidR="00CF7B56" w:rsidRPr="00A5006E" w:rsidRDefault="002375E3" w:rsidP="006C6F49">
      <w:pPr>
        <w:pStyle w:val="Heading2"/>
        <w:rPr>
          <w:rFonts w:eastAsia="Times New Roman"/>
        </w:rPr>
      </w:pPr>
      <w:r>
        <w:t xml:space="preserve">Application of ethical principles to </w:t>
      </w:r>
      <w:r w:rsidR="004629E1">
        <w:t xml:space="preserve">deceased donor </w:t>
      </w:r>
      <w:r>
        <w:t>transplants</w:t>
      </w:r>
    </w:p>
    <w:p w:rsidR="002375E3" w:rsidRDefault="002375E3" w:rsidP="00114E07">
      <w:pPr>
        <w:numPr>
          <w:ilvl w:val="0"/>
          <w:numId w:val="2"/>
        </w:numPr>
        <w:tabs>
          <w:tab w:val="num" w:pos="540"/>
          <w:tab w:val="num" w:pos="570"/>
        </w:tabs>
        <w:spacing w:before="240" w:after="240"/>
        <w:ind w:left="570" w:hanging="570"/>
        <w:rPr>
          <w:rFonts w:cs="Arial"/>
          <w:szCs w:val="24"/>
        </w:rPr>
      </w:pPr>
      <w:r w:rsidRPr="000B753A">
        <w:rPr>
          <w:rFonts w:cs="Arial"/>
          <w:szCs w:val="24"/>
        </w:rPr>
        <w:t xml:space="preserve">Decisions on whether to list someone and who to allocate an organ to are based on the three ethical principles of outcome, need/urgency and equity. To make the best possible use of the small number of deceased donor organs available relative to demand, recipients need to be sick enough to need an organ transplant, but also have a good chance of achieving a successful outcome. </w:t>
      </w:r>
      <w:r w:rsidR="00E87535" w:rsidRPr="000B753A">
        <w:rPr>
          <w:rFonts w:cs="Arial"/>
          <w:szCs w:val="24"/>
        </w:rPr>
        <w:t>Further</w:t>
      </w:r>
      <w:r w:rsidRPr="000B753A">
        <w:rPr>
          <w:rFonts w:cs="Arial"/>
          <w:szCs w:val="24"/>
        </w:rPr>
        <w:t xml:space="preserve">, there should be no discrimination between potential recipients on the basis of anything other than established eligibility criteria.  </w:t>
      </w:r>
    </w:p>
    <w:p w:rsidR="00615118" w:rsidRDefault="00615118">
      <w:pPr>
        <w:rPr>
          <w:rFonts w:cs="Arial"/>
          <w:szCs w:val="24"/>
        </w:rPr>
      </w:pPr>
      <w:r>
        <w:rPr>
          <w:rFonts w:cs="Arial"/>
          <w:szCs w:val="24"/>
        </w:rPr>
        <w:br w:type="page"/>
      </w:r>
    </w:p>
    <w:p w:rsidR="00B11D57" w:rsidRPr="000B753A" w:rsidRDefault="00D708AA" w:rsidP="00114E07">
      <w:pPr>
        <w:numPr>
          <w:ilvl w:val="0"/>
          <w:numId w:val="2"/>
        </w:numPr>
        <w:tabs>
          <w:tab w:val="num" w:pos="540"/>
          <w:tab w:val="num" w:pos="570"/>
        </w:tabs>
        <w:spacing w:before="240" w:after="240"/>
        <w:ind w:left="570" w:hanging="570"/>
        <w:rPr>
          <w:rFonts w:cs="Arial"/>
          <w:szCs w:val="24"/>
        </w:rPr>
      </w:pPr>
      <w:r>
        <w:rPr>
          <w:rFonts w:cs="Arial"/>
          <w:szCs w:val="24"/>
        </w:rPr>
        <w:lastRenderedPageBreak/>
        <w:t>These ethical principles are given effect by the decision-making process that clinicians follow. There are</w:t>
      </w:r>
      <w:r w:rsidR="002375E3" w:rsidRPr="000B753A">
        <w:rPr>
          <w:rFonts w:cs="Arial"/>
          <w:szCs w:val="24"/>
        </w:rPr>
        <w:t xml:space="preserve"> three main aspects</w:t>
      </w:r>
      <w:r>
        <w:rPr>
          <w:rFonts w:cs="Arial"/>
          <w:szCs w:val="24"/>
        </w:rPr>
        <w:t xml:space="preserve"> to this process</w:t>
      </w:r>
      <w:r w:rsidR="002375E3" w:rsidRPr="000B753A">
        <w:rPr>
          <w:rFonts w:cs="Arial"/>
          <w:szCs w:val="24"/>
        </w:rPr>
        <w:t>:</w:t>
      </w:r>
      <w:r w:rsidR="00EA7A18">
        <w:rPr>
          <w:rStyle w:val="FootnoteReference"/>
          <w:rFonts w:cs="Arial"/>
          <w:szCs w:val="24"/>
        </w:rPr>
        <w:footnoteReference w:id="8"/>
      </w:r>
    </w:p>
    <w:p w:rsidR="00B11D57" w:rsidRPr="00A5006E" w:rsidRDefault="00706DFA" w:rsidP="0052620C">
      <w:pPr>
        <w:pStyle w:val="ListParagraph"/>
        <w:numPr>
          <w:ilvl w:val="2"/>
          <w:numId w:val="2"/>
        </w:numPr>
        <w:spacing w:after="60" w:line="240" w:lineRule="auto"/>
        <w:ind w:left="1225" w:hanging="505"/>
        <w:contextualSpacing w:val="0"/>
        <w:rPr>
          <w:rFonts w:cs="Arial"/>
          <w:b/>
          <w:szCs w:val="24"/>
        </w:rPr>
      </w:pPr>
      <w:r w:rsidRPr="00A5006E">
        <w:rPr>
          <w:rFonts w:cs="Arial"/>
          <w:szCs w:val="24"/>
        </w:rPr>
        <w:t>criteria</w:t>
      </w:r>
    </w:p>
    <w:p w:rsidR="00B11D57" w:rsidRPr="00A5006E" w:rsidRDefault="00B11D57" w:rsidP="0052620C">
      <w:pPr>
        <w:pStyle w:val="ListParagraph"/>
        <w:numPr>
          <w:ilvl w:val="2"/>
          <w:numId w:val="2"/>
        </w:numPr>
        <w:spacing w:after="60" w:line="240" w:lineRule="auto"/>
        <w:ind w:left="1225" w:hanging="505"/>
        <w:contextualSpacing w:val="0"/>
        <w:rPr>
          <w:rFonts w:cs="Arial"/>
          <w:b/>
          <w:szCs w:val="24"/>
        </w:rPr>
      </w:pPr>
      <w:r w:rsidRPr="00A5006E">
        <w:rPr>
          <w:rFonts w:cs="Arial"/>
          <w:szCs w:val="24"/>
        </w:rPr>
        <w:t>clinical judgement</w:t>
      </w:r>
    </w:p>
    <w:p w:rsidR="00404786" w:rsidRPr="00A5006E" w:rsidRDefault="00404786" w:rsidP="0052620C">
      <w:pPr>
        <w:pStyle w:val="ListParagraph"/>
        <w:numPr>
          <w:ilvl w:val="2"/>
          <w:numId w:val="2"/>
        </w:numPr>
        <w:spacing w:after="60" w:line="240" w:lineRule="auto"/>
        <w:ind w:left="1225" w:hanging="505"/>
        <w:contextualSpacing w:val="0"/>
        <w:rPr>
          <w:rFonts w:cs="Arial"/>
          <w:b/>
          <w:szCs w:val="24"/>
        </w:rPr>
      </w:pPr>
      <w:proofErr w:type="gramStart"/>
      <w:r w:rsidRPr="00A5006E">
        <w:rPr>
          <w:rFonts w:cs="Arial"/>
          <w:szCs w:val="24"/>
        </w:rPr>
        <w:t>weighting</w:t>
      </w:r>
      <w:proofErr w:type="gramEnd"/>
      <w:r w:rsidRPr="00A5006E">
        <w:rPr>
          <w:rFonts w:cs="Arial"/>
          <w:szCs w:val="24"/>
        </w:rPr>
        <w:t xml:space="preserve"> given to each criteri</w:t>
      </w:r>
      <w:r w:rsidR="009B2C96">
        <w:rPr>
          <w:rFonts w:cs="Arial"/>
          <w:szCs w:val="24"/>
        </w:rPr>
        <w:t>on</w:t>
      </w:r>
      <w:r w:rsidR="008821CE" w:rsidRPr="00A5006E">
        <w:rPr>
          <w:rFonts w:cs="Arial"/>
          <w:szCs w:val="24"/>
        </w:rPr>
        <w:t>.</w:t>
      </w:r>
    </w:p>
    <w:p w:rsidR="007A6708" w:rsidRPr="00A5006E" w:rsidRDefault="006815F7" w:rsidP="00114E07">
      <w:pPr>
        <w:numPr>
          <w:ilvl w:val="0"/>
          <w:numId w:val="2"/>
        </w:numPr>
        <w:tabs>
          <w:tab w:val="num" w:pos="540"/>
          <w:tab w:val="num" w:pos="570"/>
        </w:tabs>
        <w:spacing w:before="240" w:after="240"/>
        <w:ind w:left="570" w:hanging="570"/>
        <w:rPr>
          <w:rFonts w:cs="Arial"/>
          <w:szCs w:val="24"/>
          <w:u w:val="single"/>
        </w:rPr>
      </w:pPr>
      <w:r w:rsidRPr="00A5006E">
        <w:rPr>
          <w:rFonts w:cs="Arial"/>
          <w:szCs w:val="24"/>
        </w:rPr>
        <w:t>These three areas are discussed below:</w:t>
      </w:r>
    </w:p>
    <w:p w:rsidR="00CF7B56" w:rsidRPr="00A5006E" w:rsidRDefault="00811201" w:rsidP="00114E07">
      <w:pPr>
        <w:rPr>
          <w:rFonts w:cs="Arial"/>
          <w:szCs w:val="24"/>
          <w:u w:val="single"/>
        </w:rPr>
      </w:pPr>
      <w:r w:rsidRPr="00A5006E">
        <w:rPr>
          <w:rFonts w:cs="Arial"/>
          <w:szCs w:val="24"/>
          <w:u w:val="single"/>
        </w:rPr>
        <w:t>C</w:t>
      </w:r>
      <w:r w:rsidR="0099656E" w:rsidRPr="00A5006E">
        <w:rPr>
          <w:rFonts w:cs="Arial"/>
          <w:szCs w:val="24"/>
          <w:u w:val="single"/>
        </w:rPr>
        <w:t>riteria</w:t>
      </w:r>
    </w:p>
    <w:p w:rsidR="0099656E" w:rsidRPr="00A5006E" w:rsidRDefault="00CD0A54" w:rsidP="00114E07">
      <w:pPr>
        <w:numPr>
          <w:ilvl w:val="0"/>
          <w:numId w:val="2"/>
        </w:numPr>
        <w:tabs>
          <w:tab w:val="num" w:pos="540"/>
          <w:tab w:val="num" w:pos="570"/>
        </w:tabs>
        <w:spacing w:before="240" w:after="240"/>
        <w:ind w:left="570" w:hanging="570"/>
        <w:rPr>
          <w:rFonts w:cs="Arial"/>
          <w:szCs w:val="24"/>
        </w:rPr>
      </w:pPr>
      <w:r w:rsidRPr="00A5006E">
        <w:rPr>
          <w:rFonts w:cs="Arial"/>
          <w:szCs w:val="24"/>
        </w:rPr>
        <w:t>Many</w:t>
      </w:r>
      <w:r w:rsidR="00C33331" w:rsidRPr="00A5006E">
        <w:rPr>
          <w:rFonts w:cs="Arial"/>
          <w:szCs w:val="24"/>
        </w:rPr>
        <w:t xml:space="preserve"> </w:t>
      </w:r>
      <w:r w:rsidR="00965661" w:rsidRPr="00A5006E">
        <w:rPr>
          <w:rFonts w:cs="Arial"/>
          <w:szCs w:val="24"/>
        </w:rPr>
        <w:t xml:space="preserve">inclusion and exclusion </w:t>
      </w:r>
      <w:r w:rsidR="00C33331" w:rsidRPr="00A5006E">
        <w:rPr>
          <w:rFonts w:cs="Arial"/>
          <w:szCs w:val="24"/>
        </w:rPr>
        <w:t>criteria</w:t>
      </w:r>
      <w:r w:rsidRPr="00A5006E">
        <w:rPr>
          <w:rFonts w:cs="Arial"/>
          <w:szCs w:val="24"/>
        </w:rPr>
        <w:t xml:space="preserve"> are</w:t>
      </w:r>
      <w:r w:rsidR="00C33331" w:rsidRPr="00A5006E">
        <w:rPr>
          <w:rFonts w:cs="Arial"/>
          <w:szCs w:val="24"/>
        </w:rPr>
        <w:t xml:space="preserve"> used to </w:t>
      </w:r>
      <w:r w:rsidR="000D2D2E" w:rsidRPr="00A5006E">
        <w:rPr>
          <w:rFonts w:cs="Arial"/>
          <w:szCs w:val="24"/>
        </w:rPr>
        <w:t>determin</w:t>
      </w:r>
      <w:r w:rsidR="00C33331" w:rsidRPr="00A5006E">
        <w:rPr>
          <w:rFonts w:cs="Arial"/>
          <w:szCs w:val="24"/>
        </w:rPr>
        <w:t>e</w:t>
      </w:r>
      <w:r w:rsidR="000D2D2E" w:rsidRPr="00A5006E">
        <w:rPr>
          <w:rFonts w:cs="Arial"/>
          <w:szCs w:val="24"/>
        </w:rPr>
        <w:t xml:space="preserve"> whether to list a patient for transplant </w:t>
      </w:r>
      <w:r w:rsidRPr="00A5006E">
        <w:rPr>
          <w:rFonts w:cs="Arial"/>
          <w:szCs w:val="24"/>
        </w:rPr>
        <w:t>and to decide</w:t>
      </w:r>
      <w:r w:rsidR="000D2D2E" w:rsidRPr="00A5006E">
        <w:rPr>
          <w:rFonts w:cs="Arial"/>
          <w:szCs w:val="24"/>
        </w:rPr>
        <w:t xml:space="preserve"> who receives an available organ</w:t>
      </w:r>
      <w:r w:rsidR="00965661" w:rsidRPr="00A5006E">
        <w:rPr>
          <w:rFonts w:cs="Arial"/>
          <w:szCs w:val="24"/>
        </w:rPr>
        <w:t xml:space="preserve">. </w:t>
      </w:r>
      <w:r w:rsidRPr="00A5006E">
        <w:rPr>
          <w:rFonts w:cs="Arial"/>
          <w:szCs w:val="24"/>
        </w:rPr>
        <w:t>The criteria used differ between organs.</w:t>
      </w:r>
    </w:p>
    <w:p w:rsidR="00965661" w:rsidRPr="00A5006E" w:rsidRDefault="00965661" w:rsidP="00114E07">
      <w:pPr>
        <w:spacing w:before="240" w:after="240"/>
        <w:ind w:firstLine="570"/>
        <w:rPr>
          <w:rFonts w:cs="Arial"/>
          <w:i/>
          <w:szCs w:val="24"/>
        </w:rPr>
      </w:pPr>
      <w:r w:rsidRPr="00A5006E">
        <w:rPr>
          <w:rFonts w:cs="Arial"/>
          <w:i/>
          <w:szCs w:val="24"/>
        </w:rPr>
        <w:t>When deciding whether to list a patient</w:t>
      </w:r>
      <w:r w:rsidR="00CD0A54" w:rsidRPr="00A5006E">
        <w:rPr>
          <w:rFonts w:cs="Arial"/>
          <w:i/>
          <w:szCs w:val="24"/>
        </w:rPr>
        <w:t>, criteria include:</w:t>
      </w:r>
    </w:p>
    <w:p w:rsidR="00965661" w:rsidRPr="00114E07" w:rsidRDefault="00965661" w:rsidP="00114E07">
      <w:pPr>
        <w:pStyle w:val="ListParagraph"/>
        <w:numPr>
          <w:ilvl w:val="2"/>
          <w:numId w:val="2"/>
        </w:numPr>
        <w:spacing w:after="60" w:line="240" w:lineRule="auto"/>
        <w:ind w:left="1225" w:hanging="505"/>
        <w:contextualSpacing w:val="0"/>
        <w:rPr>
          <w:rFonts w:cs="Arial"/>
          <w:szCs w:val="24"/>
        </w:rPr>
      </w:pPr>
      <w:r w:rsidRPr="00114E07">
        <w:rPr>
          <w:rFonts w:cs="Arial"/>
          <w:szCs w:val="24"/>
        </w:rPr>
        <w:t>lack of exclusionary co-morbidities</w:t>
      </w:r>
    </w:p>
    <w:p w:rsidR="00965661" w:rsidRPr="00114E07" w:rsidRDefault="001D23AD" w:rsidP="00114E07">
      <w:pPr>
        <w:pStyle w:val="ListParagraph"/>
        <w:numPr>
          <w:ilvl w:val="2"/>
          <w:numId w:val="2"/>
        </w:numPr>
        <w:spacing w:after="60" w:line="240" w:lineRule="auto"/>
        <w:ind w:left="1225" w:hanging="505"/>
        <w:contextualSpacing w:val="0"/>
        <w:rPr>
          <w:rFonts w:cs="Arial"/>
          <w:szCs w:val="24"/>
        </w:rPr>
      </w:pPr>
      <w:r w:rsidRPr="00114E07">
        <w:rPr>
          <w:rFonts w:cs="Arial"/>
          <w:szCs w:val="24"/>
        </w:rPr>
        <w:t>no</w:t>
      </w:r>
      <w:r w:rsidR="00851585" w:rsidRPr="00114E07">
        <w:rPr>
          <w:rFonts w:cs="Arial"/>
          <w:szCs w:val="24"/>
        </w:rPr>
        <w:t xml:space="preserve"> </w:t>
      </w:r>
      <w:r w:rsidR="00965661" w:rsidRPr="00114E07">
        <w:rPr>
          <w:rFonts w:cs="Arial"/>
          <w:szCs w:val="24"/>
        </w:rPr>
        <w:t>active substance abuse</w:t>
      </w:r>
    </w:p>
    <w:p w:rsidR="00965661" w:rsidRPr="00114E07" w:rsidRDefault="00CD0A54" w:rsidP="00114E07">
      <w:pPr>
        <w:pStyle w:val="ListParagraph"/>
        <w:numPr>
          <w:ilvl w:val="2"/>
          <w:numId w:val="2"/>
        </w:numPr>
        <w:spacing w:after="60" w:line="240" w:lineRule="auto"/>
        <w:ind w:left="1225" w:hanging="505"/>
        <w:contextualSpacing w:val="0"/>
        <w:rPr>
          <w:rFonts w:cs="Arial"/>
          <w:szCs w:val="24"/>
        </w:rPr>
      </w:pPr>
      <w:r w:rsidRPr="00114E07">
        <w:rPr>
          <w:rFonts w:cs="Arial"/>
          <w:szCs w:val="24"/>
        </w:rPr>
        <w:t>l</w:t>
      </w:r>
      <w:r w:rsidR="00965661" w:rsidRPr="00114E07">
        <w:rPr>
          <w:rFonts w:cs="Arial"/>
          <w:szCs w:val="24"/>
        </w:rPr>
        <w:t xml:space="preserve">ikely adherence </w:t>
      </w:r>
      <w:r w:rsidR="001D23AD" w:rsidRPr="00114E07">
        <w:rPr>
          <w:rFonts w:cs="Arial"/>
          <w:szCs w:val="24"/>
        </w:rPr>
        <w:t xml:space="preserve">and </w:t>
      </w:r>
      <w:r w:rsidR="00965661" w:rsidRPr="00114E07">
        <w:rPr>
          <w:rFonts w:cs="Arial"/>
          <w:szCs w:val="24"/>
        </w:rPr>
        <w:t xml:space="preserve">ability to comply with complex medical </w:t>
      </w:r>
      <w:r w:rsidRPr="00114E07">
        <w:rPr>
          <w:rFonts w:cs="Arial"/>
          <w:szCs w:val="24"/>
        </w:rPr>
        <w:t>treatment</w:t>
      </w:r>
    </w:p>
    <w:p w:rsidR="00965661" w:rsidRPr="00114E07" w:rsidRDefault="00965661" w:rsidP="00114E07">
      <w:pPr>
        <w:pStyle w:val="ListParagraph"/>
        <w:numPr>
          <w:ilvl w:val="2"/>
          <w:numId w:val="2"/>
        </w:numPr>
        <w:spacing w:after="60" w:line="240" w:lineRule="auto"/>
        <w:ind w:left="1225" w:hanging="505"/>
        <w:contextualSpacing w:val="0"/>
        <w:rPr>
          <w:rFonts w:cs="Arial"/>
          <w:szCs w:val="24"/>
        </w:rPr>
      </w:pPr>
      <w:r w:rsidRPr="00114E07">
        <w:rPr>
          <w:rFonts w:cs="Arial"/>
          <w:szCs w:val="24"/>
        </w:rPr>
        <w:t xml:space="preserve">likelihood of survival </w:t>
      </w:r>
      <w:r w:rsidR="00470DFC" w:rsidRPr="00114E07">
        <w:rPr>
          <w:rFonts w:cs="Arial"/>
          <w:szCs w:val="24"/>
        </w:rPr>
        <w:t>for 5 years post-transplant</w:t>
      </w:r>
      <w:r w:rsidR="002375E3" w:rsidRPr="00114E07">
        <w:rPr>
          <w:rFonts w:cs="Arial"/>
          <w:szCs w:val="24"/>
        </w:rPr>
        <w:t xml:space="preserve"> </w:t>
      </w:r>
      <w:r w:rsidRPr="00114E07">
        <w:rPr>
          <w:rFonts w:cs="Arial"/>
          <w:szCs w:val="24"/>
        </w:rPr>
        <w:t>– different percentages are used for different organs (</w:t>
      </w:r>
      <w:r w:rsidR="00CD0A54" w:rsidRPr="00114E07">
        <w:rPr>
          <w:rFonts w:cs="Arial"/>
          <w:szCs w:val="24"/>
        </w:rPr>
        <w:t xml:space="preserve">eg, </w:t>
      </w:r>
      <w:r w:rsidRPr="00114E07">
        <w:rPr>
          <w:rFonts w:cs="Arial"/>
          <w:szCs w:val="24"/>
        </w:rPr>
        <w:t>80% for kidneys, 50% for livers)</w:t>
      </w:r>
    </w:p>
    <w:p w:rsidR="00965661" w:rsidRPr="00114E07" w:rsidRDefault="00965661" w:rsidP="00114E07">
      <w:pPr>
        <w:pStyle w:val="ListParagraph"/>
        <w:numPr>
          <w:ilvl w:val="2"/>
          <w:numId w:val="2"/>
        </w:numPr>
        <w:spacing w:after="60" w:line="240" w:lineRule="auto"/>
        <w:ind w:left="1225" w:hanging="505"/>
        <w:contextualSpacing w:val="0"/>
        <w:rPr>
          <w:rFonts w:cs="Arial"/>
          <w:szCs w:val="24"/>
        </w:rPr>
      </w:pPr>
      <w:r w:rsidRPr="00114E07">
        <w:rPr>
          <w:rFonts w:cs="Arial"/>
          <w:szCs w:val="24"/>
        </w:rPr>
        <w:t xml:space="preserve">age – while age in itself is not a criterion, advancing age generally means there are co-morbidities that will exclude the patient from being listed. Additionally, children are prioritised for kidney transplants. </w:t>
      </w:r>
    </w:p>
    <w:p w:rsidR="00965661" w:rsidRPr="00A5006E" w:rsidRDefault="00965661" w:rsidP="00114E07">
      <w:pPr>
        <w:spacing w:before="240" w:after="240"/>
        <w:ind w:firstLine="570"/>
        <w:rPr>
          <w:rFonts w:cs="Arial"/>
          <w:i/>
          <w:color w:val="000000"/>
          <w:szCs w:val="24"/>
        </w:rPr>
      </w:pPr>
      <w:r w:rsidRPr="00A5006E">
        <w:rPr>
          <w:rFonts w:cs="Arial"/>
          <w:i/>
          <w:color w:val="000000"/>
          <w:szCs w:val="24"/>
        </w:rPr>
        <w:t>When allocating an organ</w:t>
      </w:r>
      <w:r w:rsidR="00CD0A54" w:rsidRPr="00A5006E">
        <w:rPr>
          <w:rFonts w:cs="Arial"/>
          <w:i/>
          <w:color w:val="000000"/>
          <w:szCs w:val="24"/>
        </w:rPr>
        <w:t xml:space="preserve">, </w:t>
      </w:r>
      <w:r w:rsidR="00CD0A54" w:rsidRPr="00114E07">
        <w:rPr>
          <w:rFonts w:cs="Arial"/>
          <w:i/>
          <w:szCs w:val="24"/>
        </w:rPr>
        <w:t>criteria</w:t>
      </w:r>
      <w:r w:rsidR="00CD0A54" w:rsidRPr="00A5006E">
        <w:rPr>
          <w:rFonts w:cs="Arial"/>
          <w:i/>
          <w:color w:val="000000"/>
          <w:szCs w:val="24"/>
        </w:rPr>
        <w:t xml:space="preserve"> include:</w:t>
      </w:r>
    </w:p>
    <w:p w:rsidR="00965661" w:rsidRPr="00114E07" w:rsidRDefault="00965661" w:rsidP="00114E07">
      <w:pPr>
        <w:pStyle w:val="ListParagraph"/>
        <w:numPr>
          <w:ilvl w:val="2"/>
          <w:numId w:val="2"/>
        </w:numPr>
        <w:spacing w:after="60" w:line="240" w:lineRule="auto"/>
        <w:ind w:left="1225" w:hanging="505"/>
        <w:contextualSpacing w:val="0"/>
        <w:rPr>
          <w:rFonts w:cs="Arial"/>
          <w:szCs w:val="24"/>
        </w:rPr>
      </w:pPr>
      <w:r w:rsidRPr="00114E07">
        <w:rPr>
          <w:rFonts w:cs="Arial"/>
          <w:szCs w:val="24"/>
        </w:rPr>
        <w:t>blood type</w:t>
      </w:r>
    </w:p>
    <w:p w:rsidR="00965661" w:rsidRPr="00114E07" w:rsidRDefault="00965661" w:rsidP="00114E07">
      <w:pPr>
        <w:pStyle w:val="ListParagraph"/>
        <w:numPr>
          <w:ilvl w:val="2"/>
          <w:numId w:val="2"/>
        </w:numPr>
        <w:spacing w:after="60" w:line="240" w:lineRule="auto"/>
        <w:ind w:left="1225" w:hanging="505"/>
        <w:contextualSpacing w:val="0"/>
        <w:rPr>
          <w:rFonts w:cs="Arial"/>
          <w:szCs w:val="24"/>
        </w:rPr>
      </w:pPr>
      <w:r w:rsidRPr="00114E07">
        <w:rPr>
          <w:rFonts w:cs="Arial"/>
          <w:szCs w:val="24"/>
        </w:rPr>
        <w:t>size</w:t>
      </w:r>
      <w:r w:rsidR="00C174E0">
        <w:rPr>
          <w:rFonts w:cs="Arial"/>
          <w:szCs w:val="24"/>
        </w:rPr>
        <w:t xml:space="preserve"> of organ relative to the size of the patient being transplanted</w:t>
      </w:r>
    </w:p>
    <w:p w:rsidR="00805D81" w:rsidRPr="00114E07" w:rsidRDefault="0099656E" w:rsidP="00114E07">
      <w:pPr>
        <w:pStyle w:val="ListParagraph"/>
        <w:numPr>
          <w:ilvl w:val="2"/>
          <w:numId w:val="2"/>
        </w:numPr>
        <w:spacing w:after="60" w:line="240" w:lineRule="auto"/>
        <w:ind w:left="1225" w:hanging="505"/>
        <w:contextualSpacing w:val="0"/>
        <w:rPr>
          <w:rFonts w:cs="Arial"/>
          <w:szCs w:val="24"/>
        </w:rPr>
      </w:pPr>
      <w:r w:rsidRPr="00114E07">
        <w:rPr>
          <w:rFonts w:cs="Arial"/>
          <w:szCs w:val="24"/>
        </w:rPr>
        <w:t>Human Leukocyte Antigen (HLA) matching (kidneys o</w:t>
      </w:r>
      <w:r w:rsidR="005A4B18" w:rsidRPr="00114E07">
        <w:rPr>
          <w:rFonts w:cs="Arial"/>
          <w:szCs w:val="24"/>
        </w:rPr>
        <w:t>nly) –</w:t>
      </w:r>
      <w:r w:rsidR="004629E1" w:rsidRPr="00114E07">
        <w:rPr>
          <w:rFonts w:cs="Arial"/>
          <w:szCs w:val="24"/>
        </w:rPr>
        <w:t xml:space="preserve"> where there is a patient who is closely matched to an available deceased donor organ, they receive additional priority (due to better outcomes). A</w:t>
      </w:r>
      <w:r w:rsidR="005A4B18" w:rsidRPr="00114E07">
        <w:rPr>
          <w:rFonts w:cs="Arial"/>
          <w:szCs w:val="24"/>
        </w:rPr>
        <w:t xml:space="preserve">pproximately 30% </w:t>
      </w:r>
      <w:r w:rsidR="00CD0A54" w:rsidRPr="00114E07">
        <w:rPr>
          <w:rFonts w:cs="Arial"/>
          <w:szCs w:val="24"/>
        </w:rPr>
        <w:t xml:space="preserve">of </w:t>
      </w:r>
      <w:r w:rsidR="004629E1" w:rsidRPr="00114E07">
        <w:rPr>
          <w:rFonts w:cs="Arial"/>
          <w:szCs w:val="24"/>
        </w:rPr>
        <w:t xml:space="preserve">deceased donor </w:t>
      </w:r>
      <w:r w:rsidR="00CD0A54" w:rsidRPr="00114E07">
        <w:rPr>
          <w:rFonts w:cs="Arial"/>
          <w:szCs w:val="24"/>
        </w:rPr>
        <w:t xml:space="preserve">kidneys are </w:t>
      </w:r>
      <w:r w:rsidR="005A4B18" w:rsidRPr="00114E07">
        <w:rPr>
          <w:rFonts w:cs="Arial"/>
          <w:szCs w:val="24"/>
        </w:rPr>
        <w:t>allocated to patients with a</w:t>
      </w:r>
      <w:r w:rsidR="004629E1" w:rsidRPr="00114E07">
        <w:rPr>
          <w:rFonts w:cs="Arial"/>
          <w:szCs w:val="24"/>
        </w:rPr>
        <w:t xml:space="preserve"> close</w:t>
      </w:r>
      <w:r w:rsidR="005A4B18" w:rsidRPr="00114E07">
        <w:rPr>
          <w:rFonts w:cs="Arial"/>
          <w:szCs w:val="24"/>
        </w:rPr>
        <w:t xml:space="preserve"> match.</w:t>
      </w:r>
      <w:r w:rsidRPr="00114E07">
        <w:rPr>
          <w:rFonts w:cs="Arial"/>
          <w:szCs w:val="24"/>
        </w:rPr>
        <w:t xml:space="preserve"> </w:t>
      </w:r>
    </w:p>
    <w:p w:rsidR="00615118" w:rsidRDefault="00615118">
      <w:pPr>
        <w:rPr>
          <w:rFonts w:cs="Arial"/>
          <w:szCs w:val="24"/>
          <w:u w:val="single"/>
        </w:rPr>
      </w:pPr>
      <w:r>
        <w:rPr>
          <w:rFonts w:cs="Arial"/>
          <w:szCs w:val="24"/>
          <w:u w:val="single"/>
        </w:rPr>
        <w:br w:type="page"/>
      </w:r>
    </w:p>
    <w:p w:rsidR="00CD6793" w:rsidRPr="00A5006E" w:rsidRDefault="006E7884" w:rsidP="00114E07">
      <w:pPr>
        <w:tabs>
          <w:tab w:val="num" w:pos="570"/>
        </w:tabs>
        <w:spacing w:before="240" w:after="240"/>
        <w:rPr>
          <w:rFonts w:cs="Arial"/>
          <w:szCs w:val="24"/>
          <w:u w:val="single"/>
        </w:rPr>
      </w:pPr>
      <w:r w:rsidRPr="00A5006E">
        <w:rPr>
          <w:rFonts w:cs="Arial"/>
          <w:szCs w:val="24"/>
          <w:u w:val="single"/>
        </w:rPr>
        <w:lastRenderedPageBreak/>
        <w:t>C</w:t>
      </w:r>
      <w:r w:rsidR="00CD6793" w:rsidRPr="00A5006E">
        <w:rPr>
          <w:rFonts w:cs="Arial"/>
          <w:szCs w:val="24"/>
          <w:u w:val="single"/>
        </w:rPr>
        <w:t>linical judgement</w:t>
      </w:r>
    </w:p>
    <w:p w:rsidR="00E93741" w:rsidRPr="00A5006E" w:rsidRDefault="00CD0A54" w:rsidP="00114E07">
      <w:pPr>
        <w:numPr>
          <w:ilvl w:val="0"/>
          <w:numId w:val="2"/>
        </w:numPr>
        <w:tabs>
          <w:tab w:val="num" w:pos="540"/>
          <w:tab w:val="num" w:pos="570"/>
        </w:tabs>
        <w:spacing w:before="240" w:after="240"/>
        <w:ind w:left="570" w:hanging="570"/>
        <w:rPr>
          <w:rFonts w:cs="Arial"/>
          <w:szCs w:val="24"/>
        </w:rPr>
      </w:pPr>
      <w:r w:rsidRPr="00A5006E">
        <w:rPr>
          <w:rFonts w:cs="Arial"/>
          <w:szCs w:val="24"/>
        </w:rPr>
        <w:t>O</w:t>
      </w:r>
      <w:r w:rsidR="00E93741" w:rsidRPr="00A5006E">
        <w:rPr>
          <w:rFonts w:cs="Arial"/>
          <w:szCs w:val="24"/>
        </w:rPr>
        <w:t>bjective criteria provide less oppor</w:t>
      </w:r>
      <w:r w:rsidRPr="00A5006E">
        <w:rPr>
          <w:rFonts w:cs="Arial"/>
          <w:szCs w:val="24"/>
        </w:rPr>
        <w:t>tunity for gaming of the system</w:t>
      </w:r>
      <w:r w:rsidR="00E93741" w:rsidRPr="00A5006E">
        <w:rPr>
          <w:rFonts w:cs="Arial"/>
          <w:szCs w:val="24"/>
        </w:rPr>
        <w:t xml:space="preserve"> and can be seen as an impartial way of allocating a scarce resource. However, </w:t>
      </w:r>
      <w:r w:rsidRPr="00A5006E">
        <w:rPr>
          <w:rFonts w:cs="Arial"/>
          <w:szCs w:val="24"/>
        </w:rPr>
        <w:t xml:space="preserve">using only </w:t>
      </w:r>
      <w:r w:rsidR="00E93741" w:rsidRPr="00A5006E">
        <w:rPr>
          <w:rFonts w:cs="Arial"/>
          <w:szCs w:val="24"/>
        </w:rPr>
        <w:t xml:space="preserve">objective criteria may </w:t>
      </w:r>
      <w:r w:rsidRPr="00A5006E">
        <w:rPr>
          <w:rFonts w:cs="Arial"/>
          <w:szCs w:val="24"/>
        </w:rPr>
        <w:t>mean there is in</w:t>
      </w:r>
      <w:r w:rsidR="00E93741" w:rsidRPr="00A5006E">
        <w:rPr>
          <w:rFonts w:cs="Arial"/>
          <w:szCs w:val="24"/>
        </w:rPr>
        <w:t xml:space="preserve">sufficient flexibility in certain circumstances to determine the best use of the resource. Therefore clinical judgement is used </w:t>
      </w:r>
      <w:r w:rsidRPr="00A5006E">
        <w:rPr>
          <w:rFonts w:cs="Arial"/>
          <w:szCs w:val="24"/>
        </w:rPr>
        <w:t>alongside</w:t>
      </w:r>
      <w:r w:rsidR="00E93741" w:rsidRPr="00A5006E">
        <w:rPr>
          <w:rFonts w:cs="Arial"/>
          <w:szCs w:val="24"/>
        </w:rPr>
        <w:t xml:space="preserve"> the</w:t>
      </w:r>
      <w:r w:rsidRPr="00A5006E">
        <w:rPr>
          <w:rFonts w:cs="Arial"/>
          <w:szCs w:val="24"/>
        </w:rPr>
        <w:t xml:space="preserve"> objective</w:t>
      </w:r>
      <w:r w:rsidR="00E93741" w:rsidRPr="00A5006E">
        <w:rPr>
          <w:rFonts w:cs="Arial"/>
          <w:szCs w:val="24"/>
        </w:rPr>
        <w:t xml:space="preserve"> criteria.</w:t>
      </w:r>
    </w:p>
    <w:p w:rsidR="00CD6793" w:rsidRPr="00A5006E" w:rsidRDefault="00CD6793" w:rsidP="00114E07">
      <w:pPr>
        <w:numPr>
          <w:ilvl w:val="0"/>
          <w:numId w:val="2"/>
        </w:numPr>
        <w:tabs>
          <w:tab w:val="num" w:pos="540"/>
          <w:tab w:val="num" w:pos="570"/>
        </w:tabs>
        <w:spacing w:before="240" w:after="240"/>
        <w:ind w:left="570" w:hanging="570"/>
        <w:rPr>
          <w:rFonts w:cs="Arial"/>
          <w:szCs w:val="24"/>
        </w:rPr>
      </w:pPr>
      <w:r w:rsidRPr="00A5006E">
        <w:rPr>
          <w:rFonts w:cs="Arial"/>
          <w:szCs w:val="24"/>
        </w:rPr>
        <w:t>Clinical judgement, based on the clinician’s experience and not just test results, is used throughout the listing and allocation process</w:t>
      </w:r>
      <w:r w:rsidR="00C33331" w:rsidRPr="00A5006E">
        <w:rPr>
          <w:rFonts w:cs="Arial"/>
          <w:szCs w:val="24"/>
        </w:rPr>
        <w:t>. F</w:t>
      </w:r>
      <w:r w:rsidRPr="00A5006E">
        <w:rPr>
          <w:rFonts w:cs="Arial"/>
          <w:szCs w:val="24"/>
        </w:rPr>
        <w:t>or example:</w:t>
      </w:r>
    </w:p>
    <w:p w:rsidR="00CD6793" w:rsidRPr="00114E07" w:rsidRDefault="00CD6793" w:rsidP="00114E07">
      <w:pPr>
        <w:pStyle w:val="ListParagraph"/>
        <w:numPr>
          <w:ilvl w:val="2"/>
          <w:numId w:val="2"/>
        </w:numPr>
        <w:spacing w:after="60" w:line="240" w:lineRule="auto"/>
        <w:ind w:left="1225" w:hanging="505"/>
        <w:contextualSpacing w:val="0"/>
        <w:rPr>
          <w:rFonts w:cs="Arial"/>
          <w:szCs w:val="24"/>
        </w:rPr>
      </w:pPr>
      <w:r w:rsidRPr="00114E07">
        <w:rPr>
          <w:rFonts w:cs="Arial"/>
          <w:szCs w:val="24"/>
        </w:rPr>
        <w:t xml:space="preserve">when determining a patient’s likelihood of survival, based on, among other factors, their likely level of compliance with </w:t>
      </w:r>
      <w:r w:rsidR="00CD0A54" w:rsidRPr="00114E07">
        <w:rPr>
          <w:rFonts w:cs="Arial"/>
          <w:szCs w:val="24"/>
        </w:rPr>
        <w:t>post-transplant treatment</w:t>
      </w:r>
    </w:p>
    <w:p w:rsidR="00CD6793" w:rsidRPr="00114E07" w:rsidRDefault="00CD6793" w:rsidP="00114E07">
      <w:pPr>
        <w:pStyle w:val="ListParagraph"/>
        <w:numPr>
          <w:ilvl w:val="2"/>
          <w:numId w:val="2"/>
        </w:numPr>
        <w:spacing w:after="60" w:line="240" w:lineRule="auto"/>
        <w:ind w:left="1225" w:hanging="505"/>
        <w:contextualSpacing w:val="0"/>
        <w:rPr>
          <w:rFonts w:cs="Arial"/>
          <w:szCs w:val="24"/>
        </w:rPr>
      </w:pPr>
      <w:r w:rsidRPr="00114E07">
        <w:rPr>
          <w:rFonts w:cs="Arial"/>
          <w:szCs w:val="24"/>
        </w:rPr>
        <w:t>where there is a marginal organ that may not be suitable for a very sick patient, but may be suitable for someone lower</w:t>
      </w:r>
      <w:r w:rsidR="00CD0A54" w:rsidRPr="00114E07">
        <w:rPr>
          <w:rFonts w:cs="Arial"/>
          <w:szCs w:val="24"/>
        </w:rPr>
        <w:t xml:space="preserve"> down</w:t>
      </w:r>
      <w:r w:rsidRPr="00114E07">
        <w:rPr>
          <w:rFonts w:cs="Arial"/>
          <w:szCs w:val="24"/>
        </w:rPr>
        <w:t xml:space="preserve"> on the waiting list</w:t>
      </w:r>
    </w:p>
    <w:p w:rsidR="00CD6793" w:rsidRPr="00114E07" w:rsidRDefault="00CD6793" w:rsidP="00114E07">
      <w:pPr>
        <w:pStyle w:val="ListParagraph"/>
        <w:numPr>
          <w:ilvl w:val="2"/>
          <w:numId w:val="2"/>
        </w:numPr>
        <w:spacing w:after="60" w:line="240" w:lineRule="auto"/>
        <w:ind w:left="1225" w:hanging="505"/>
        <w:contextualSpacing w:val="0"/>
        <w:rPr>
          <w:rFonts w:cs="Arial"/>
          <w:szCs w:val="24"/>
        </w:rPr>
      </w:pPr>
      <w:proofErr w:type="gramStart"/>
      <w:r w:rsidRPr="00114E07">
        <w:rPr>
          <w:rFonts w:cs="Arial"/>
          <w:szCs w:val="24"/>
        </w:rPr>
        <w:t>where</w:t>
      </w:r>
      <w:proofErr w:type="gramEnd"/>
      <w:r w:rsidRPr="00114E07">
        <w:rPr>
          <w:rFonts w:cs="Arial"/>
          <w:szCs w:val="24"/>
        </w:rPr>
        <w:t xml:space="preserve"> there is a liver that </w:t>
      </w:r>
      <w:r w:rsidR="009B2C96" w:rsidRPr="00114E07">
        <w:rPr>
          <w:rFonts w:cs="Arial"/>
          <w:szCs w:val="24"/>
        </w:rPr>
        <w:t>can</w:t>
      </w:r>
      <w:r w:rsidRPr="00114E07">
        <w:rPr>
          <w:rFonts w:cs="Arial"/>
          <w:szCs w:val="24"/>
        </w:rPr>
        <w:t xml:space="preserve"> be split and used for both a child and an adult.</w:t>
      </w:r>
    </w:p>
    <w:p w:rsidR="00404786" w:rsidRPr="00A5006E" w:rsidRDefault="00706DFA" w:rsidP="00114E07">
      <w:pPr>
        <w:tabs>
          <w:tab w:val="num" w:pos="570"/>
        </w:tabs>
        <w:spacing w:before="240" w:after="240"/>
        <w:rPr>
          <w:rFonts w:cs="Arial"/>
          <w:szCs w:val="24"/>
          <w:u w:val="single"/>
        </w:rPr>
      </w:pPr>
      <w:r w:rsidRPr="00D708AA">
        <w:rPr>
          <w:rFonts w:cs="Arial"/>
          <w:szCs w:val="24"/>
          <w:u w:val="single"/>
        </w:rPr>
        <w:t>W</w:t>
      </w:r>
      <w:r w:rsidR="00404786" w:rsidRPr="00D708AA">
        <w:rPr>
          <w:rFonts w:cs="Arial"/>
          <w:szCs w:val="24"/>
          <w:u w:val="single"/>
        </w:rPr>
        <w:t>eighting</w:t>
      </w:r>
      <w:r w:rsidRPr="00A5006E">
        <w:rPr>
          <w:rFonts w:cs="Arial"/>
          <w:szCs w:val="24"/>
          <w:u w:val="single"/>
        </w:rPr>
        <w:t xml:space="preserve"> of criteri</w:t>
      </w:r>
      <w:r w:rsidR="000B753A">
        <w:rPr>
          <w:rFonts w:cs="Arial"/>
          <w:szCs w:val="24"/>
          <w:u w:val="single"/>
        </w:rPr>
        <w:t>a</w:t>
      </w:r>
    </w:p>
    <w:p w:rsidR="00404786" w:rsidRPr="00A5006E" w:rsidRDefault="006501C5" w:rsidP="00114E07">
      <w:pPr>
        <w:numPr>
          <w:ilvl w:val="0"/>
          <w:numId w:val="2"/>
        </w:numPr>
        <w:tabs>
          <w:tab w:val="num" w:pos="540"/>
          <w:tab w:val="num" w:pos="570"/>
        </w:tabs>
        <w:spacing w:before="240" w:after="240"/>
        <w:ind w:left="570" w:hanging="570"/>
        <w:rPr>
          <w:rFonts w:cs="Arial"/>
          <w:i/>
          <w:szCs w:val="24"/>
        </w:rPr>
      </w:pPr>
      <w:r w:rsidRPr="00A5006E">
        <w:rPr>
          <w:rFonts w:cs="Arial"/>
          <w:szCs w:val="24"/>
        </w:rPr>
        <w:t xml:space="preserve">As clinicians apply various </w:t>
      </w:r>
      <w:r w:rsidR="00404786" w:rsidRPr="00A5006E">
        <w:rPr>
          <w:rFonts w:cs="Arial"/>
          <w:szCs w:val="24"/>
        </w:rPr>
        <w:t xml:space="preserve">objective criteria </w:t>
      </w:r>
      <w:r w:rsidR="00C33331" w:rsidRPr="00A5006E">
        <w:rPr>
          <w:rFonts w:cs="Arial"/>
          <w:szCs w:val="24"/>
        </w:rPr>
        <w:t xml:space="preserve">in </w:t>
      </w:r>
      <w:r w:rsidR="00404786" w:rsidRPr="00A5006E">
        <w:rPr>
          <w:rFonts w:cs="Arial"/>
          <w:szCs w:val="24"/>
        </w:rPr>
        <w:t>combin</w:t>
      </w:r>
      <w:r w:rsidR="00C33331" w:rsidRPr="00A5006E">
        <w:rPr>
          <w:rFonts w:cs="Arial"/>
          <w:szCs w:val="24"/>
        </w:rPr>
        <w:t>ation</w:t>
      </w:r>
      <w:r w:rsidR="00404786" w:rsidRPr="00A5006E">
        <w:rPr>
          <w:rFonts w:cs="Arial"/>
          <w:szCs w:val="24"/>
        </w:rPr>
        <w:t xml:space="preserve"> with clinical judgement,</w:t>
      </w:r>
      <w:r w:rsidRPr="00A5006E">
        <w:rPr>
          <w:rFonts w:cs="Arial"/>
          <w:szCs w:val="24"/>
        </w:rPr>
        <w:t xml:space="preserve"> this indicates a weighting exercise is occurring at each stage of the process</w:t>
      </w:r>
      <w:r w:rsidR="00404786" w:rsidRPr="00A5006E">
        <w:rPr>
          <w:rFonts w:cs="Arial"/>
          <w:szCs w:val="24"/>
        </w:rPr>
        <w:t>.</w:t>
      </w:r>
      <w:r w:rsidRPr="00A5006E">
        <w:rPr>
          <w:rFonts w:cs="Arial"/>
          <w:szCs w:val="24"/>
        </w:rPr>
        <w:t xml:space="preserve"> In other words, clinicians may place more importance on some objective criteria than others.</w:t>
      </w:r>
      <w:r w:rsidR="00404786" w:rsidRPr="00A5006E">
        <w:rPr>
          <w:rFonts w:cs="Arial"/>
          <w:szCs w:val="24"/>
        </w:rPr>
        <w:t xml:space="preserve"> </w:t>
      </w:r>
      <w:r w:rsidRPr="00A5006E">
        <w:rPr>
          <w:rFonts w:cs="Arial"/>
          <w:szCs w:val="24"/>
        </w:rPr>
        <w:t>It is unclear whether the weighting is consistent</w:t>
      </w:r>
      <w:r w:rsidR="00D15567" w:rsidRPr="00A5006E">
        <w:rPr>
          <w:rFonts w:cs="Arial"/>
          <w:szCs w:val="24"/>
        </w:rPr>
        <w:t>ly applied between patients</w:t>
      </w:r>
      <w:r w:rsidRPr="00A5006E">
        <w:rPr>
          <w:rFonts w:cs="Arial"/>
          <w:szCs w:val="24"/>
        </w:rPr>
        <w:t>.</w:t>
      </w:r>
    </w:p>
    <w:p w:rsidR="00CD0A54" w:rsidRPr="00A5006E" w:rsidRDefault="00CD0A54" w:rsidP="00114E07">
      <w:pPr>
        <w:tabs>
          <w:tab w:val="num" w:pos="1163"/>
        </w:tabs>
        <w:spacing w:before="240" w:after="240"/>
        <w:rPr>
          <w:rFonts w:cs="Arial"/>
          <w:i/>
          <w:szCs w:val="24"/>
        </w:rPr>
      </w:pPr>
      <w:r w:rsidRPr="00A5006E">
        <w:rPr>
          <w:rFonts w:cs="Arial"/>
          <w:i/>
          <w:szCs w:val="24"/>
        </w:rPr>
        <w:t>Issues</w:t>
      </w:r>
    </w:p>
    <w:p w:rsidR="002375E3" w:rsidRPr="000B753A" w:rsidRDefault="000F6C25" w:rsidP="00114E07">
      <w:pPr>
        <w:numPr>
          <w:ilvl w:val="0"/>
          <w:numId w:val="2"/>
        </w:numPr>
        <w:tabs>
          <w:tab w:val="num" w:pos="540"/>
          <w:tab w:val="num" w:pos="570"/>
        </w:tabs>
        <w:spacing w:before="240" w:after="240"/>
        <w:ind w:left="570" w:hanging="570"/>
        <w:rPr>
          <w:rFonts w:cs="Arial"/>
          <w:szCs w:val="24"/>
        </w:rPr>
      </w:pPr>
      <w:r w:rsidRPr="000B753A">
        <w:rPr>
          <w:rFonts w:cs="Arial"/>
          <w:szCs w:val="24"/>
        </w:rPr>
        <w:t>NEAC</w:t>
      </w:r>
      <w:r w:rsidR="002375E3" w:rsidRPr="000B753A">
        <w:rPr>
          <w:rFonts w:cs="Arial"/>
          <w:szCs w:val="24"/>
        </w:rPr>
        <w:t xml:space="preserve">’s primary interest is </w:t>
      </w:r>
      <w:r w:rsidRPr="000B753A">
        <w:rPr>
          <w:rFonts w:cs="Arial"/>
          <w:szCs w:val="24"/>
        </w:rPr>
        <w:t xml:space="preserve">in how </w:t>
      </w:r>
      <w:r w:rsidR="002375E3" w:rsidRPr="000B753A">
        <w:rPr>
          <w:rFonts w:cs="Arial"/>
          <w:szCs w:val="24"/>
        </w:rPr>
        <w:t xml:space="preserve">the </w:t>
      </w:r>
      <w:r w:rsidRPr="000B753A">
        <w:rPr>
          <w:rFonts w:cs="Arial"/>
          <w:szCs w:val="24"/>
        </w:rPr>
        <w:t xml:space="preserve">ethical principles </w:t>
      </w:r>
      <w:r w:rsidR="00E87535" w:rsidRPr="000B753A">
        <w:rPr>
          <w:rFonts w:cs="Arial"/>
          <w:szCs w:val="24"/>
        </w:rPr>
        <w:t xml:space="preserve">(outcome, need/urgency and equity) </w:t>
      </w:r>
      <w:r w:rsidR="002375E3" w:rsidRPr="000B753A">
        <w:rPr>
          <w:rFonts w:cs="Arial"/>
          <w:szCs w:val="24"/>
        </w:rPr>
        <w:t xml:space="preserve">are given effect in deceased donor transplant decisions. </w:t>
      </w:r>
      <w:r w:rsidRPr="000B753A">
        <w:rPr>
          <w:rFonts w:cs="Arial"/>
          <w:szCs w:val="24"/>
        </w:rPr>
        <w:t xml:space="preserve">As John McCall </w:t>
      </w:r>
      <w:r w:rsidR="002375E3" w:rsidRPr="000B753A">
        <w:rPr>
          <w:rFonts w:cs="Arial"/>
          <w:szCs w:val="24"/>
        </w:rPr>
        <w:t>succinctly stated in his feedback</w:t>
      </w:r>
      <w:r w:rsidR="00C174E0">
        <w:rPr>
          <w:rFonts w:cs="Arial"/>
          <w:szCs w:val="24"/>
        </w:rPr>
        <w:t>:</w:t>
      </w:r>
      <w:r w:rsidR="002375E3" w:rsidRPr="000B753A">
        <w:rPr>
          <w:rStyle w:val="FootnoteReference"/>
          <w:rFonts w:cs="Arial"/>
          <w:szCs w:val="24"/>
        </w:rPr>
        <w:footnoteReference w:id="9"/>
      </w:r>
      <w:r w:rsidR="002375E3" w:rsidRPr="000B753A">
        <w:rPr>
          <w:rFonts w:cs="Arial"/>
          <w:szCs w:val="24"/>
        </w:rPr>
        <w:t xml:space="preserve"> </w:t>
      </w:r>
      <w:r w:rsidR="00C174E0">
        <w:rPr>
          <w:rFonts w:cs="Arial"/>
          <w:szCs w:val="24"/>
        </w:rPr>
        <w:t>t</w:t>
      </w:r>
      <w:r w:rsidR="002375E3" w:rsidRPr="000B753A">
        <w:rPr>
          <w:rFonts w:cs="Arial"/>
          <w:szCs w:val="24"/>
        </w:rPr>
        <w:t>he</w:t>
      </w:r>
      <w:r w:rsidRPr="000B753A">
        <w:rPr>
          <w:rFonts w:cs="Arial"/>
          <w:szCs w:val="24"/>
        </w:rPr>
        <w:t xml:space="preserve"> fundamental issue here is the interplay between information that is essentially technical and highly specialised in nature and the application of ethical principles.  </w:t>
      </w:r>
    </w:p>
    <w:p w:rsidR="00F831F4" w:rsidRPr="000B753A" w:rsidRDefault="002375E3" w:rsidP="00114E07">
      <w:pPr>
        <w:numPr>
          <w:ilvl w:val="0"/>
          <w:numId w:val="2"/>
        </w:numPr>
        <w:tabs>
          <w:tab w:val="num" w:pos="540"/>
          <w:tab w:val="num" w:pos="570"/>
        </w:tabs>
        <w:spacing w:before="240" w:after="240"/>
        <w:ind w:left="570" w:hanging="570"/>
        <w:rPr>
          <w:rFonts w:cs="Arial"/>
          <w:szCs w:val="24"/>
        </w:rPr>
      </w:pPr>
      <w:r w:rsidRPr="000B753A">
        <w:rPr>
          <w:rFonts w:cs="Arial"/>
          <w:szCs w:val="24"/>
        </w:rPr>
        <w:t xml:space="preserve">It is important that the criteria used to give effect to the ethical principles are valid and sensitive enough to distinguish between, for example, poor and good outcomes. The relative weight given to </w:t>
      </w:r>
      <w:r w:rsidR="000B753A" w:rsidRPr="000B753A">
        <w:rPr>
          <w:rFonts w:cs="Arial"/>
          <w:szCs w:val="24"/>
        </w:rPr>
        <w:t xml:space="preserve">each </w:t>
      </w:r>
      <w:r w:rsidRPr="000B753A">
        <w:rPr>
          <w:rFonts w:cs="Arial"/>
          <w:szCs w:val="24"/>
        </w:rPr>
        <w:t>criterion also needs to be commensurate with its value as a proxy for the ethical principle</w:t>
      </w:r>
      <w:r w:rsidR="00C174E0">
        <w:rPr>
          <w:rFonts w:cs="Arial"/>
          <w:szCs w:val="24"/>
        </w:rPr>
        <w:t>s</w:t>
      </w:r>
      <w:r w:rsidRPr="000B753A">
        <w:rPr>
          <w:rFonts w:cs="Arial"/>
          <w:szCs w:val="24"/>
        </w:rPr>
        <w:t xml:space="preserve"> and relative importance compared with other measures. </w:t>
      </w:r>
    </w:p>
    <w:p w:rsidR="00E93741" w:rsidRPr="00A5006E" w:rsidRDefault="00CD0A54" w:rsidP="00114E07">
      <w:pPr>
        <w:numPr>
          <w:ilvl w:val="0"/>
          <w:numId w:val="2"/>
        </w:numPr>
        <w:tabs>
          <w:tab w:val="num" w:pos="540"/>
          <w:tab w:val="num" w:pos="570"/>
        </w:tabs>
        <w:spacing w:before="240" w:after="240"/>
        <w:ind w:left="570" w:hanging="570"/>
        <w:rPr>
          <w:rFonts w:cs="Arial"/>
          <w:szCs w:val="24"/>
        </w:rPr>
      </w:pPr>
      <w:r w:rsidRPr="00A5006E">
        <w:rPr>
          <w:rFonts w:cs="Arial"/>
          <w:szCs w:val="24"/>
        </w:rPr>
        <w:t xml:space="preserve">NEAC’s work </w:t>
      </w:r>
      <w:r w:rsidR="00811201" w:rsidRPr="00A5006E">
        <w:rPr>
          <w:rFonts w:cs="Arial"/>
          <w:szCs w:val="24"/>
        </w:rPr>
        <w:t>has identified several issues</w:t>
      </w:r>
      <w:r w:rsidRPr="00A5006E">
        <w:rPr>
          <w:rFonts w:cs="Arial"/>
          <w:szCs w:val="24"/>
        </w:rPr>
        <w:t xml:space="preserve"> relating to the criteria</w:t>
      </w:r>
      <w:r w:rsidR="00E93741" w:rsidRPr="00A5006E">
        <w:rPr>
          <w:rFonts w:cs="Arial"/>
          <w:szCs w:val="24"/>
        </w:rPr>
        <w:t>:</w:t>
      </w:r>
    </w:p>
    <w:p w:rsidR="003C4B53" w:rsidRPr="00A5006E" w:rsidRDefault="00E93741" w:rsidP="00114E07">
      <w:pPr>
        <w:pStyle w:val="ListParagraph"/>
        <w:numPr>
          <w:ilvl w:val="0"/>
          <w:numId w:val="4"/>
        </w:numPr>
        <w:spacing w:after="120" w:line="240" w:lineRule="auto"/>
        <w:ind w:left="1134" w:hanging="567"/>
        <w:contextualSpacing w:val="0"/>
        <w:rPr>
          <w:rFonts w:cs="Arial"/>
          <w:szCs w:val="24"/>
        </w:rPr>
      </w:pPr>
      <w:r w:rsidRPr="00A5006E">
        <w:rPr>
          <w:rFonts w:cs="Arial"/>
          <w:szCs w:val="24"/>
        </w:rPr>
        <w:t>It</w:t>
      </w:r>
      <w:r w:rsidR="00805D81" w:rsidRPr="00A5006E">
        <w:rPr>
          <w:rFonts w:cs="Arial"/>
          <w:szCs w:val="24"/>
        </w:rPr>
        <w:t xml:space="preserve"> is unclear how the different cut-offs for likelihood of 5-year survival were arrived at or why the percentage is different between organs.</w:t>
      </w:r>
    </w:p>
    <w:p w:rsidR="00805D81" w:rsidRPr="00A5006E" w:rsidRDefault="00805D81" w:rsidP="00114E07">
      <w:pPr>
        <w:pStyle w:val="ListParagraph"/>
        <w:numPr>
          <w:ilvl w:val="0"/>
          <w:numId w:val="4"/>
        </w:numPr>
        <w:spacing w:after="120" w:line="240" w:lineRule="auto"/>
        <w:ind w:left="1134" w:hanging="567"/>
        <w:contextualSpacing w:val="0"/>
        <w:rPr>
          <w:rFonts w:cs="Arial"/>
          <w:szCs w:val="24"/>
        </w:rPr>
      </w:pPr>
      <w:r w:rsidRPr="00A5006E">
        <w:rPr>
          <w:rFonts w:cs="Arial"/>
          <w:szCs w:val="24"/>
        </w:rPr>
        <w:lastRenderedPageBreak/>
        <w:t xml:space="preserve">Children are prioritised for transplants, </w:t>
      </w:r>
      <w:r w:rsidR="00260980" w:rsidRPr="00A5006E">
        <w:rPr>
          <w:rFonts w:cs="Arial"/>
          <w:szCs w:val="24"/>
        </w:rPr>
        <w:t>sometimes to the equivalent of years on the waiting list</w:t>
      </w:r>
      <w:r w:rsidR="00A64473" w:rsidRPr="00A5006E">
        <w:rPr>
          <w:rFonts w:cs="Arial"/>
          <w:szCs w:val="24"/>
        </w:rPr>
        <w:t>, for no clear publicly stated clinical or ethical reason</w:t>
      </w:r>
      <w:r w:rsidRPr="00A5006E">
        <w:rPr>
          <w:rFonts w:cs="Arial"/>
          <w:szCs w:val="24"/>
        </w:rPr>
        <w:t xml:space="preserve">. However, there does not appear to be any priority for younger adults compared with older adults. </w:t>
      </w:r>
    </w:p>
    <w:p w:rsidR="00805D81" w:rsidRPr="00A5006E" w:rsidRDefault="00805D81" w:rsidP="00114E07">
      <w:pPr>
        <w:pStyle w:val="ListParagraph"/>
        <w:numPr>
          <w:ilvl w:val="0"/>
          <w:numId w:val="4"/>
        </w:numPr>
        <w:spacing w:after="120" w:line="240" w:lineRule="auto"/>
        <w:ind w:left="1134" w:hanging="567"/>
        <w:contextualSpacing w:val="0"/>
        <w:rPr>
          <w:rFonts w:cs="Arial"/>
          <w:szCs w:val="24"/>
        </w:rPr>
      </w:pPr>
      <w:r w:rsidRPr="00A5006E">
        <w:rPr>
          <w:rFonts w:cs="Arial"/>
          <w:szCs w:val="24"/>
        </w:rPr>
        <w:t>HL</w:t>
      </w:r>
      <w:r w:rsidR="00E93741" w:rsidRPr="00A5006E">
        <w:rPr>
          <w:rFonts w:cs="Arial"/>
          <w:szCs w:val="24"/>
        </w:rPr>
        <w:t>A matching is used as a criterion</w:t>
      </w:r>
      <w:r w:rsidRPr="00A5006E">
        <w:rPr>
          <w:rFonts w:cs="Arial"/>
          <w:szCs w:val="24"/>
        </w:rPr>
        <w:t xml:space="preserve"> for kidney </w:t>
      </w:r>
      <w:r w:rsidR="00E93741" w:rsidRPr="00A5006E">
        <w:rPr>
          <w:rFonts w:cs="Arial"/>
          <w:szCs w:val="24"/>
        </w:rPr>
        <w:t>transplants;</w:t>
      </w:r>
      <w:r w:rsidRPr="00A5006E">
        <w:rPr>
          <w:rFonts w:cs="Arial"/>
          <w:szCs w:val="24"/>
        </w:rPr>
        <w:t xml:space="preserve"> </w:t>
      </w:r>
      <w:r w:rsidR="00E93741" w:rsidRPr="00A5006E">
        <w:rPr>
          <w:rFonts w:cs="Arial"/>
          <w:szCs w:val="24"/>
        </w:rPr>
        <w:t>however</w:t>
      </w:r>
      <w:r w:rsidRPr="00A5006E">
        <w:rPr>
          <w:rFonts w:cs="Arial"/>
          <w:szCs w:val="24"/>
        </w:rPr>
        <w:t xml:space="preserve">, the difference in survival for a very well matched kidney versus a poorly matched kidney is only 5-10%. </w:t>
      </w:r>
    </w:p>
    <w:p w:rsidR="00F03093" w:rsidRPr="00A5006E" w:rsidRDefault="009E392A" w:rsidP="00114E07">
      <w:pPr>
        <w:pStyle w:val="ListParagraph"/>
        <w:numPr>
          <w:ilvl w:val="0"/>
          <w:numId w:val="4"/>
        </w:numPr>
        <w:spacing w:after="120" w:line="240" w:lineRule="auto"/>
        <w:ind w:left="1134" w:hanging="567"/>
        <w:contextualSpacing w:val="0"/>
        <w:rPr>
          <w:rFonts w:cs="Arial"/>
          <w:szCs w:val="24"/>
        </w:rPr>
      </w:pPr>
      <w:r>
        <w:rPr>
          <w:rFonts w:cs="Arial"/>
          <w:szCs w:val="24"/>
        </w:rPr>
        <w:t>It is unclear how the competing principles of outcome, need/urgency and equity are being weighed against each other</w:t>
      </w:r>
      <w:r w:rsidR="00F03093" w:rsidRPr="00A5006E">
        <w:rPr>
          <w:rFonts w:cs="Arial"/>
          <w:szCs w:val="24"/>
        </w:rPr>
        <w:t>.</w:t>
      </w:r>
    </w:p>
    <w:p w:rsidR="00F03093" w:rsidRPr="00A5006E" w:rsidRDefault="00F03093" w:rsidP="00114E07">
      <w:pPr>
        <w:numPr>
          <w:ilvl w:val="0"/>
          <w:numId w:val="2"/>
        </w:numPr>
        <w:tabs>
          <w:tab w:val="num" w:pos="540"/>
          <w:tab w:val="num" w:pos="570"/>
        </w:tabs>
        <w:spacing w:before="240" w:after="240"/>
        <w:ind w:left="570" w:hanging="570"/>
        <w:rPr>
          <w:rFonts w:cs="Arial"/>
          <w:i/>
          <w:szCs w:val="24"/>
        </w:rPr>
      </w:pPr>
      <w:r w:rsidRPr="00A5006E">
        <w:rPr>
          <w:rFonts w:cs="Arial"/>
          <w:szCs w:val="24"/>
        </w:rPr>
        <w:t>Clinical judgement will vary between clinicians</w:t>
      </w:r>
      <w:r w:rsidR="003E4569" w:rsidRPr="00A5006E">
        <w:rPr>
          <w:rFonts w:cs="Arial"/>
          <w:szCs w:val="24"/>
        </w:rPr>
        <w:t>, and between</w:t>
      </w:r>
      <w:r w:rsidR="00CD0A54" w:rsidRPr="00A5006E">
        <w:rPr>
          <w:rFonts w:cs="Arial"/>
          <w:szCs w:val="24"/>
        </w:rPr>
        <w:t xml:space="preserve"> types of</w:t>
      </w:r>
      <w:r w:rsidR="003E4569" w:rsidRPr="00A5006E">
        <w:rPr>
          <w:rFonts w:cs="Arial"/>
          <w:szCs w:val="24"/>
        </w:rPr>
        <w:t xml:space="preserve"> organ</w:t>
      </w:r>
      <w:r w:rsidRPr="00A5006E">
        <w:rPr>
          <w:rFonts w:cs="Arial"/>
          <w:szCs w:val="24"/>
        </w:rPr>
        <w:t xml:space="preserve">. To ensure </w:t>
      </w:r>
      <w:r w:rsidR="00CD0A54" w:rsidRPr="00A5006E">
        <w:rPr>
          <w:rFonts w:cs="Arial"/>
          <w:szCs w:val="24"/>
        </w:rPr>
        <w:t>equal</w:t>
      </w:r>
      <w:r w:rsidRPr="00A5006E">
        <w:rPr>
          <w:rFonts w:cs="Arial"/>
          <w:szCs w:val="24"/>
        </w:rPr>
        <w:t xml:space="preserve"> access, clinicians need to ensure that their decisions are consistent between patients, and </w:t>
      </w:r>
      <w:r w:rsidR="00CD0A54" w:rsidRPr="00A5006E">
        <w:rPr>
          <w:rFonts w:cs="Arial"/>
          <w:szCs w:val="24"/>
        </w:rPr>
        <w:t>with</w:t>
      </w:r>
      <w:r w:rsidRPr="00A5006E">
        <w:rPr>
          <w:rFonts w:cs="Arial"/>
          <w:szCs w:val="24"/>
        </w:rPr>
        <w:t xml:space="preserve"> other clinicians. </w:t>
      </w:r>
      <w:r w:rsidR="00714EFF" w:rsidRPr="00A5006E">
        <w:rPr>
          <w:rFonts w:cs="Arial"/>
          <w:szCs w:val="24"/>
        </w:rPr>
        <w:t>Transplant units make decisions as a team</w:t>
      </w:r>
      <w:r w:rsidR="00811201" w:rsidRPr="00A5006E">
        <w:rPr>
          <w:rFonts w:cs="Arial"/>
          <w:szCs w:val="24"/>
        </w:rPr>
        <w:t xml:space="preserve"> and</w:t>
      </w:r>
      <w:r w:rsidR="00714EFF" w:rsidRPr="00A5006E">
        <w:rPr>
          <w:rFonts w:cs="Arial"/>
          <w:szCs w:val="24"/>
        </w:rPr>
        <w:t xml:space="preserve"> this</w:t>
      </w:r>
      <w:r w:rsidR="00CD0A54" w:rsidRPr="00A5006E">
        <w:rPr>
          <w:rFonts w:cs="Arial"/>
          <w:szCs w:val="24"/>
        </w:rPr>
        <w:t xml:space="preserve"> can </w:t>
      </w:r>
      <w:r w:rsidRPr="00A5006E">
        <w:rPr>
          <w:rFonts w:cs="Arial"/>
          <w:szCs w:val="24"/>
        </w:rPr>
        <w:t xml:space="preserve">help ensure decisions are consistent. </w:t>
      </w:r>
    </w:p>
    <w:p w:rsidR="00B03EF9" w:rsidRPr="00E87535" w:rsidRDefault="00B03EF9" w:rsidP="00114E07">
      <w:pPr>
        <w:numPr>
          <w:ilvl w:val="0"/>
          <w:numId w:val="2"/>
        </w:numPr>
        <w:tabs>
          <w:tab w:val="num" w:pos="540"/>
          <w:tab w:val="num" w:pos="570"/>
        </w:tabs>
        <w:spacing w:before="240" w:after="240"/>
        <w:ind w:left="570" w:hanging="570"/>
        <w:rPr>
          <w:rFonts w:cs="Arial"/>
          <w:szCs w:val="24"/>
        </w:rPr>
      </w:pPr>
      <w:r w:rsidRPr="00E87535">
        <w:rPr>
          <w:rFonts w:cs="Arial"/>
          <w:szCs w:val="24"/>
        </w:rPr>
        <w:t xml:space="preserve">Decisions about who gets on the waiting list and who gets an organ when one becomes available must be clinically informed. However, the </w:t>
      </w:r>
      <w:r w:rsidR="002375E3" w:rsidRPr="00E87535">
        <w:rPr>
          <w:rFonts w:cs="Arial"/>
          <w:szCs w:val="24"/>
        </w:rPr>
        <w:t xml:space="preserve">weight given to </w:t>
      </w:r>
      <w:r w:rsidR="00811201" w:rsidRPr="00E87535">
        <w:rPr>
          <w:rFonts w:cs="Arial"/>
          <w:szCs w:val="24"/>
        </w:rPr>
        <w:t>different criteri</w:t>
      </w:r>
      <w:r w:rsidR="000B753A">
        <w:rPr>
          <w:rFonts w:cs="Arial"/>
          <w:szCs w:val="24"/>
        </w:rPr>
        <w:t>a</w:t>
      </w:r>
      <w:r w:rsidR="002375E3" w:rsidRPr="00E87535">
        <w:rPr>
          <w:rFonts w:cs="Arial"/>
          <w:szCs w:val="24"/>
        </w:rPr>
        <w:t xml:space="preserve"> needs to </w:t>
      </w:r>
      <w:r w:rsidR="000B753A">
        <w:rPr>
          <w:rFonts w:cs="Arial"/>
          <w:szCs w:val="24"/>
        </w:rPr>
        <w:t>reflect clearly the supporting</w:t>
      </w:r>
      <w:r w:rsidR="002375E3" w:rsidRPr="00E87535">
        <w:rPr>
          <w:rFonts w:cs="Arial"/>
          <w:szCs w:val="24"/>
        </w:rPr>
        <w:t xml:space="preserve"> ethical principles. This is particularly important when there may be competing interests. For example, </w:t>
      </w:r>
      <w:r w:rsidRPr="00E87535">
        <w:rPr>
          <w:rFonts w:cs="Arial"/>
          <w:szCs w:val="24"/>
        </w:rPr>
        <w:t>should an organ be allocated to someone who will live longer</w:t>
      </w:r>
      <w:r w:rsidR="002375E3" w:rsidRPr="00E87535">
        <w:rPr>
          <w:rFonts w:cs="Arial"/>
          <w:szCs w:val="24"/>
        </w:rPr>
        <w:t xml:space="preserve"> (outcome principle)</w:t>
      </w:r>
      <w:r w:rsidRPr="00E87535">
        <w:rPr>
          <w:rFonts w:cs="Arial"/>
          <w:szCs w:val="24"/>
        </w:rPr>
        <w:t>, but has been waiting a shorter time</w:t>
      </w:r>
      <w:r w:rsidR="002375E3" w:rsidRPr="00E87535">
        <w:rPr>
          <w:rFonts w:cs="Arial"/>
          <w:szCs w:val="24"/>
        </w:rPr>
        <w:t xml:space="preserve"> (justice principle)</w:t>
      </w:r>
      <w:r w:rsidRPr="00E87535">
        <w:rPr>
          <w:rFonts w:cs="Arial"/>
          <w:szCs w:val="24"/>
        </w:rPr>
        <w:t xml:space="preserve">? </w:t>
      </w:r>
      <w:r w:rsidR="003A6018" w:rsidRPr="00E87535">
        <w:rPr>
          <w:rFonts w:cs="Arial"/>
          <w:szCs w:val="24"/>
        </w:rPr>
        <w:t>Allocation decisions need</w:t>
      </w:r>
      <w:r w:rsidRPr="00E87535">
        <w:rPr>
          <w:rFonts w:cs="Arial"/>
          <w:szCs w:val="24"/>
        </w:rPr>
        <w:t xml:space="preserve"> to be </w:t>
      </w:r>
      <w:r w:rsidR="00811201" w:rsidRPr="00E87535">
        <w:rPr>
          <w:rFonts w:cs="Arial"/>
          <w:szCs w:val="24"/>
        </w:rPr>
        <w:t xml:space="preserve">ethically </w:t>
      </w:r>
      <w:r w:rsidRPr="00E87535">
        <w:rPr>
          <w:rFonts w:cs="Arial"/>
          <w:szCs w:val="24"/>
        </w:rPr>
        <w:t xml:space="preserve">defensible as </w:t>
      </w:r>
      <w:r w:rsidR="004629E1" w:rsidRPr="00E87535">
        <w:rPr>
          <w:rFonts w:cs="Arial"/>
          <w:szCs w:val="24"/>
        </w:rPr>
        <w:t xml:space="preserve">deceased donor (and </w:t>
      </w:r>
      <w:r w:rsidR="00410680">
        <w:rPr>
          <w:rFonts w:cs="Arial"/>
          <w:szCs w:val="24"/>
        </w:rPr>
        <w:t>non-directed</w:t>
      </w:r>
      <w:r w:rsidR="004629E1" w:rsidRPr="00E87535">
        <w:rPr>
          <w:rFonts w:cs="Arial"/>
          <w:szCs w:val="24"/>
        </w:rPr>
        <w:t xml:space="preserve"> living donor) organs</w:t>
      </w:r>
      <w:r w:rsidRPr="00E87535">
        <w:rPr>
          <w:rFonts w:cs="Arial"/>
          <w:szCs w:val="24"/>
        </w:rPr>
        <w:t xml:space="preserve"> are a community-held resource.</w:t>
      </w:r>
    </w:p>
    <w:p w:rsidR="00B03EF9" w:rsidRPr="00A5006E" w:rsidRDefault="002375E3" w:rsidP="00114E07">
      <w:pPr>
        <w:tabs>
          <w:tab w:val="num" w:pos="1163"/>
        </w:tabs>
        <w:spacing w:before="240" w:after="240"/>
        <w:rPr>
          <w:rFonts w:cs="Arial"/>
          <w:i/>
          <w:szCs w:val="24"/>
        </w:rPr>
      </w:pPr>
      <w:r>
        <w:rPr>
          <w:rFonts w:cs="Arial"/>
          <w:i/>
          <w:szCs w:val="24"/>
        </w:rPr>
        <w:t>Current response</w:t>
      </w:r>
    </w:p>
    <w:p w:rsidR="00F831F4" w:rsidRPr="002C4216" w:rsidRDefault="002C4216" w:rsidP="00114E07">
      <w:pPr>
        <w:numPr>
          <w:ilvl w:val="0"/>
          <w:numId w:val="2"/>
        </w:numPr>
        <w:tabs>
          <w:tab w:val="num" w:pos="540"/>
          <w:tab w:val="num" w:pos="570"/>
        </w:tabs>
        <w:spacing w:before="240" w:after="240"/>
        <w:ind w:left="570" w:hanging="570"/>
        <w:rPr>
          <w:rFonts w:cs="Arial"/>
          <w:szCs w:val="24"/>
        </w:rPr>
      </w:pPr>
      <w:r>
        <w:rPr>
          <w:rFonts w:eastAsia="Times New Roman" w:cs="Arial"/>
        </w:rPr>
        <w:t>The</w:t>
      </w:r>
      <w:r w:rsidRPr="000374A2">
        <w:rPr>
          <w:rFonts w:eastAsia="Times New Roman" w:cs="Arial"/>
        </w:rPr>
        <w:t xml:space="preserve"> Australian National Health and Medical Research Council</w:t>
      </w:r>
      <w:r>
        <w:rPr>
          <w:rFonts w:eastAsia="Times New Roman" w:cs="Arial"/>
        </w:rPr>
        <w:t>, together with the</w:t>
      </w:r>
      <w:r w:rsidRPr="000374A2">
        <w:rPr>
          <w:rFonts w:eastAsia="Times New Roman" w:cs="Arial"/>
        </w:rPr>
        <w:t xml:space="preserve"> Organ and Tissue Authority and TSANZ</w:t>
      </w:r>
      <w:r>
        <w:rPr>
          <w:rFonts w:eastAsia="Times New Roman" w:cs="Arial"/>
        </w:rPr>
        <w:t>,</w:t>
      </w:r>
      <w:r w:rsidRPr="000374A2">
        <w:rPr>
          <w:rFonts w:eastAsia="Times New Roman" w:cs="Arial"/>
        </w:rPr>
        <w:t xml:space="preserve"> are developing </w:t>
      </w:r>
      <w:r w:rsidRPr="000374A2">
        <w:rPr>
          <w:rFonts w:eastAsia="Times New Roman" w:cs="Arial"/>
          <w:i/>
        </w:rPr>
        <w:t>Ethical Guidelines for Eligibility Criteria and Allocation Protocols for Organ Transplantation from Deceased Donors</w:t>
      </w:r>
      <w:r w:rsidRPr="000374A2">
        <w:rPr>
          <w:rFonts w:eastAsia="Times New Roman" w:cs="Arial"/>
        </w:rPr>
        <w:t xml:space="preserve">. </w:t>
      </w:r>
      <w:r w:rsidR="00410680">
        <w:rPr>
          <w:rFonts w:eastAsia="Times New Roman" w:cs="Arial"/>
        </w:rPr>
        <w:t>An</w:t>
      </w:r>
      <w:r w:rsidRPr="000374A2">
        <w:rPr>
          <w:rFonts w:eastAsia="Times New Roman" w:cs="Arial"/>
        </w:rPr>
        <w:t xml:space="preserve"> E</w:t>
      </w:r>
      <w:r>
        <w:rPr>
          <w:rFonts w:eastAsia="Times New Roman" w:cs="Arial"/>
        </w:rPr>
        <w:t xml:space="preserve">xpert Advisory Group will consider such issues as likelihood of survival as an eligibility criterion for entry onto waiting lists, and the balance of criteria relating to utility and equity for entry onto waiting lists and determining transplant recipients. </w:t>
      </w:r>
      <w:r w:rsidRPr="000374A2">
        <w:rPr>
          <w:rFonts w:eastAsia="Times New Roman" w:cs="Arial"/>
        </w:rPr>
        <w:t>The Expert Advisory Group</w:t>
      </w:r>
      <w:r>
        <w:rPr>
          <w:rFonts w:eastAsia="Times New Roman" w:cs="Arial"/>
        </w:rPr>
        <w:t>’s</w:t>
      </w:r>
      <w:r w:rsidRPr="000374A2">
        <w:rPr>
          <w:rFonts w:eastAsia="Times New Roman" w:cs="Arial"/>
        </w:rPr>
        <w:t xml:space="preserve"> </w:t>
      </w:r>
      <w:r>
        <w:rPr>
          <w:rFonts w:eastAsia="Times New Roman" w:cs="Arial"/>
        </w:rPr>
        <w:t>term runs until</w:t>
      </w:r>
      <w:r w:rsidRPr="000374A2">
        <w:rPr>
          <w:rFonts w:eastAsia="Times New Roman" w:cs="Arial"/>
        </w:rPr>
        <w:t xml:space="preserve"> 30 June 2015</w:t>
      </w:r>
      <w:r>
        <w:rPr>
          <w:rFonts w:eastAsia="Times New Roman" w:cs="Arial"/>
        </w:rPr>
        <w:t>.</w:t>
      </w:r>
    </w:p>
    <w:p w:rsidR="002C4216" w:rsidRPr="002375E3" w:rsidRDefault="002C4216" w:rsidP="00114E07">
      <w:pPr>
        <w:numPr>
          <w:ilvl w:val="0"/>
          <w:numId w:val="2"/>
        </w:numPr>
        <w:tabs>
          <w:tab w:val="num" w:pos="540"/>
          <w:tab w:val="num" w:pos="570"/>
        </w:tabs>
        <w:spacing w:before="240" w:after="240"/>
        <w:ind w:left="570" w:hanging="570"/>
        <w:rPr>
          <w:rFonts w:cs="Arial"/>
          <w:szCs w:val="24"/>
        </w:rPr>
      </w:pPr>
      <w:r w:rsidRPr="000374A2">
        <w:rPr>
          <w:rFonts w:eastAsia="Times New Roman" w:cs="Arial"/>
        </w:rPr>
        <w:t>N</w:t>
      </w:r>
      <w:r>
        <w:rPr>
          <w:rFonts w:eastAsia="Times New Roman" w:cs="Arial"/>
        </w:rPr>
        <w:t xml:space="preserve">ew </w:t>
      </w:r>
      <w:r w:rsidRPr="000374A2">
        <w:rPr>
          <w:rFonts w:eastAsia="Times New Roman" w:cs="Arial"/>
        </w:rPr>
        <w:t>Z</w:t>
      </w:r>
      <w:r>
        <w:rPr>
          <w:rFonts w:eastAsia="Times New Roman" w:cs="Arial"/>
        </w:rPr>
        <w:t>ealand clinicians are</w:t>
      </w:r>
      <w:r w:rsidRPr="000374A2">
        <w:rPr>
          <w:rFonts w:eastAsia="Times New Roman" w:cs="Arial"/>
        </w:rPr>
        <w:t xml:space="preserve"> not directly involved in th</w:t>
      </w:r>
      <w:r>
        <w:rPr>
          <w:rFonts w:eastAsia="Times New Roman" w:cs="Arial"/>
        </w:rPr>
        <w:t xml:space="preserve">is work but they are involved in </w:t>
      </w:r>
      <w:r w:rsidRPr="000374A2">
        <w:rPr>
          <w:rFonts w:eastAsia="Times New Roman" w:cs="Arial"/>
        </w:rPr>
        <w:t xml:space="preserve">TSANZ </w:t>
      </w:r>
      <w:r>
        <w:rPr>
          <w:rFonts w:eastAsia="Times New Roman" w:cs="Arial"/>
        </w:rPr>
        <w:t>which is contributing expert</w:t>
      </w:r>
      <w:r w:rsidR="00D708AA">
        <w:rPr>
          <w:rFonts w:eastAsia="Times New Roman" w:cs="Arial"/>
        </w:rPr>
        <w:t>i</w:t>
      </w:r>
      <w:r>
        <w:rPr>
          <w:rFonts w:eastAsia="Times New Roman" w:cs="Arial"/>
        </w:rPr>
        <w:t>s</w:t>
      </w:r>
      <w:r w:rsidR="00D708AA">
        <w:rPr>
          <w:rFonts w:eastAsia="Times New Roman" w:cs="Arial"/>
        </w:rPr>
        <w:t>e</w:t>
      </w:r>
      <w:r>
        <w:rPr>
          <w:rFonts w:eastAsia="Times New Roman" w:cs="Arial"/>
        </w:rPr>
        <w:t xml:space="preserve"> to the process.</w:t>
      </w:r>
    </w:p>
    <w:p w:rsidR="000E518A" w:rsidRPr="00A5006E" w:rsidRDefault="00166AA9" w:rsidP="00114E07">
      <w:pPr>
        <w:tabs>
          <w:tab w:val="num" w:pos="1163"/>
        </w:tabs>
        <w:spacing w:before="240" w:after="240"/>
        <w:rPr>
          <w:rFonts w:cs="Arial"/>
          <w:szCs w:val="24"/>
        </w:rPr>
      </w:pPr>
      <w:r w:rsidRPr="00A5006E">
        <w:rPr>
          <w:rFonts w:cs="Arial"/>
          <w:i/>
          <w:szCs w:val="24"/>
        </w:rPr>
        <w:t>Recommendations</w:t>
      </w:r>
      <w:r w:rsidR="000E518A" w:rsidRPr="00A5006E">
        <w:rPr>
          <w:rFonts w:cs="Arial"/>
          <w:szCs w:val="24"/>
        </w:rPr>
        <w:t xml:space="preserve"> </w:t>
      </w:r>
    </w:p>
    <w:p w:rsidR="00314091" w:rsidRPr="000B753A" w:rsidRDefault="000D2D2E" w:rsidP="00114E07">
      <w:pPr>
        <w:numPr>
          <w:ilvl w:val="0"/>
          <w:numId w:val="2"/>
        </w:numPr>
        <w:tabs>
          <w:tab w:val="num" w:pos="540"/>
          <w:tab w:val="num" w:pos="570"/>
        </w:tabs>
        <w:spacing w:before="240" w:after="240"/>
        <w:ind w:left="570" w:hanging="570"/>
        <w:rPr>
          <w:rFonts w:cs="Arial"/>
          <w:szCs w:val="24"/>
        </w:rPr>
      </w:pPr>
      <w:r w:rsidRPr="000B753A">
        <w:rPr>
          <w:rFonts w:cs="Arial"/>
          <w:szCs w:val="24"/>
        </w:rPr>
        <w:t>NEAC</w:t>
      </w:r>
      <w:r w:rsidR="003A6018" w:rsidRPr="000B753A">
        <w:rPr>
          <w:rFonts w:cs="Arial"/>
          <w:szCs w:val="24"/>
        </w:rPr>
        <w:t xml:space="preserve"> recommends </w:t>
      </w:r>
      <w:r w:rsidR="00615118">
        <w:rPr>
          <w:rFonts w:cs="Arial"/>
          <w:szCs w:val="24"/>
        </w:rPr>
        <w:t xml:space="preserve">that you agree that NEAC lead work on how </w:t>
      </w:r>
      <w:r w:rsidR="00615118" w:rsidRPr="000B753A">
        <w:rPr>
          <w:rFonts w:cs="Arial"/>
          <w:szCs w:val="24"/>
        </w:rPr>
        <w:t xml:space="preserve">ethical principles are given effect through the </w:t>
      </w:r>
      <w:r w:rsidR="00615118">
        <w:rPr>
          <w:rFonts w:cs="Arial"/>
          <w:szCs w:val="24"/>
        </w:rPr>
        <w:t xml:space="preserve">decision-making processes for deceased donor transplants, including how best to make decisions when ethical principles come into conflict. </w:t>
      </w:r>
      <w:r w:rsidR="00AB58BB" w:rsidRPr="000B753A">
        <w:rPr>
          <w:rFonts w:cs="Arial"/>
          <w:szCs w:val="24"/>
        </w:rPr>
        <w:t xml:space="preserve">Stakeholders broadly support </w:t>
      </w:r>
      <w:r w:rsidR="00615118">
        <w:rPr>
          <w:rFonts w:cs="Arial"/>
          <w:szCs w:val="24"/>
        </w:rPr>
        <w:t xml:space="preserve">this recommendation. </w:t>
      </w:r>
    </w:p>
    <w:p w:rsidR="000D2D2E" w:rsidRPr="00A5006E" w:rsidRDefault="00615118" w:rsidP="00114E07">
      <w:pPr>
        <w:numPr>
          <w:ilvl w:val="0"/>
          <w:numId w:val="2"/>
        </w:numPr>
        <w:tabs>
          <w:tab w:val="num" w:pos="540"/>
          <w:tab w:val="num" w:pos="570"/>
        </w:tabs>
        <w:spacing w:before="240" w:after="240"/>
        <w:ind w:left="570" w:hanging="570"/>
        <w:rPr>
          <w:rFonts w:cs="Arial"/>
          <w:szCs w:val="24"/>
        </w:rPr>
      </w:pPr>
      <w:r>
        <w:rPr>
          <w:rFonts w:cs="Arial"/>
          <w:szCs w:val="24"/>
        </w:rPr>
        <w:lastRenderedPageBreak/>
        <w:t xml:space="preserve">This work could also consider </w:t>
      </w:r>
      <w:r w:rsidR="000D2D2E" w:rsidRPr="00A5006E">
        <w:rPr>
          <w:rFonts w:cs="Arial"/>
          <w:szCs w:val="24"/>
        </w:rPr>
        <w:t xml:space="preserve">how best to take account of the value patients place on outcomes. For example, a patient may regard a </w:t>
      </w:r>
      <w:r>
        <w:rPr>
          <w:rFonts w:cs="Arial"/>
          <w:szCs w:val="24"/>
        </w:rPr>
        <w:t xml:space="preserve">kidney </w:t>
      </w:r>
      <w:r w:rsidR="000D2D2E" w:rsidRPr="00A5006E">
        <w:rPr>
          <w:rFonts w:cs="Arial"/>
          <w:szCs w:val="24"/>
        </w:rPr>
        <w:t xml:space="preserve">transplant as worthwhile even if it only lasts a year or two because it gets </w:t>
      </w:r>
      <w:r w:rsidR="00706DFA" w:rsidRPr="00A5006E">
        <w:rPr>
          <w:rFonts w:cs="Arial"/>
          <w:szCs w:val="24"/>
        </w:rPr>
        <w:t>them off dialysis</w:t>
      </w:r>
      <w:r>
        <w:rPr>
          <w:rFonts w:cs="Arial"/>
          <w:szCs w:val="24"/>
        </w:rPr>
        <w:t>,</w:t>
      </w:r>
      <w:r w:rsidR="003E4569" w:rsidRPr="00A5006E">
        <w:rPr>
          <w:rFonts w:cs="Arial"/>
          <w:szCs w:val="24"/>
        </w:rPr>
        <w:t xml:space="preserve"> whereas </w:t>
      </w:r>
      <w:r w:rsidR="00706DFA" w:rsidRPr="00A5006E">
        <w:rPr>
          <w:rFonts w:cs="Arial"/>
          <w:szCs w:val="24"/>
        </w:rPr>
        <w:t xml:space="preserve">a clinician </w:t>
      </w:r>
      <w:r>
        <w:rPr>
          <w:rFonts w:cs="Arial"/>
          <w:szCs w:val="24"/>
        </w:rPr>
        <w:t xml:space="preserve">may view this </w:t>
      </w:r>
      <w:r w:rsidR="000D2D2E" w:rsidRPr="00A5006E">
        <w:rPr>
          <w:rFonts w:cs="Arial"/>
          <w:szCs w:val="24"/>
        </w:rPr>
        <w:t>as a poor outcome.</w:t>
      </w:r>
    </w:p>
    <w:p w:rsidR="0007015C" w:rsidRPr="000B753A" w:rsidRDefault="0032129F" w:rsidP="00114E07">
      <w:pPr>
        <w:numPr>
          <w:ilvl w:val="0"/>
          <w:numId w:val="2"/>
        </w:numPr>
        <w:tabs>
          <w:tab w:val="num" w:pos="540"/>
          <w:tab w:val="num" w:pos="570"/>
        </w:tabs>
        <w:spacing w:before="240" w:after="240"/>
        <w:ind w:left="570" w:hanging="570"/>
        <w:rPr>
          <w:rFonts w:cs="Arial"/>
          <w:szCs w:val="24"/>
        </w:rPr>
      </w:pPr>
      <w:r w:rsidRPr="000B753A">
        <w:rPr>
          <w:rFonts w:cs="Arial"/>
          <w:szCs w:val="24"/>
        </w:rPr>
        <w:t xml:space="preserve">NEAC considers </w:t>
      </w:r>
      <w:r w:rsidR="00166AA9" w:rsidRPr="000B753A">
        <w:rPr>
          <w:rFonts w:cs="Arial"/>
          <w:szCs w:val="24"/>
        </w:rPr>
        <w:t>that</w:t>
      </w:r>
      <w:r w:rsidRPr="000B753A">
        <w:rPr>
          <w:rFonts w:cs="Arial"/>
          <w:szCs w:val="24"/>
        </w:rPr>
        <w:t xml:space="preserve"> </w:t>
      </w:r>
      <w:r w:rsidR="003A6018" w:rsidRPr="000B753A">
        <w:rPr>
          <w:rFonts w:cs="Arial"/>
          <w:szCs w:val="24"/>
        </w:rPr>
        <w:t>public v</w:t>
      </w:r>
      <w:r w:rsidRPr="000B753A">
        <w:rPr>
          <w:rFonts w:cs="Arial"/>
          <w:szCs w:val="24"/>
        </w:rPr>
        <w:t xml:space="preserve">iews </w:t>
      </w:r>
      <w:r w:rsidR="00166AA9" w:rsidRPr="000B753A">
        <w:rPr>
          <w:rFonts w:cs="Arial"/>
          <w:szCs w:val="24"/>
        </w:rPr>
        <w:t xml:space="preserve">are important for this area. </w:t>
      </w:r>
      <w:r w:rsidR="00F73F78" w:rsidRPr="000B753A">
        <w:rPr>
          <w:rFonts w:cs="Arial"/>
          <w:szCs w:val="24"/>
        </w:rPr>
        <w:t>As d</w:t>
      </w:r>
      <w:r w:rsidR="0007015C" w:rsidRPr="000B753A">
        <w:rPr>
          <w:rFonts w:cs="Arial"/>
          <w:szCs w:val="24"/>
        </w:rPr>
        <w:t>eceased donor o</w:t>
      </w:r>
      <w:r w:rsidR="00166AA9" w:rsidRPr="000B753A">
        <w:rPr>
          <w:rFonts w:cs="Arial"/>
          <w:szCs w:val="24"/>
        </w:rPr>
        <w:t xml:space="preserve">rgans are a community-held </w:t>
      </w:r>
      <w:r w:rsidR="00B746B0" w:rsidRPr="000B753A">
        <w:rPr>
          <w:rFonts w:cs="Arial"/>
          <w:szCs w:val="24"/>
        </w:rPr>
        <w:t>resource</w:t>
      </w:r>
      <w:r w:rsidR="00F73F78" w:rsidRPr="000B753A">
        <w:rPr>
          <w:rFonts w:cs="Arial"/>
          <w:szCs w:val="24"/>
        </w:rPr>
        <w:t>,</w:t>
      </w:r>
      <w:r w:rsidR="00166AA9" w:rsidRPr="000B753A">
        <w:rPr>
          <w:rFonts w:cs="Arial"/>
          <w:szCs w:val="24"/>
        </w:rPr>
        <w:t xml:space="preserve"> </w:t>
      </w:r>
      <w:r w:rsidR="00B746B0" w:rsidRPr="000B753A">
        <w:rPr>
          <w:rFonts w:cs="Arial"/>
          <w:szCs w:val="24"/>
        </w:rPr>
        <w:t xml:space="preserve">the public should </w:t>
      </w:r>
      <w:r w:rsidR="0007015C" w:rsidRPr="000B753A">
        <w:rPr>
          <w:rFonts w:cs="Arial"/>
          <w:szCs w:val="24"/>
        </w:rPr>
        <w:t xml:space="preserve">have the opportunity to contribute to </w:t>
      </w:r>
      <w:r w:rsidR="002C4216" w:rsidRPr="000B753A">
        <w:rPr>
          <w:rFonts w:cs="Arial"/>
          <w:szCs w:val="24"/>
        </w:rPr>
        <w:t xml:space="preserve">the development of guidelines on relevant </w:t>
      </w:r>
      <w:r w:rsidR="000F6C25" w:rsidRPr="000B753A">
        <w:rPr>
          <w:rFonts w:cs="Arial"/>
          <w:szCs w:val="24"/>
        </w:rPr>
        <w:t xml:space="preserve">ethical principles </w:t>
      </w:r>
      <w:r w:rsidR="002C4216" w:rsidRPr="000B753A">
        <w:rPr>
          <w:rFonts w:cs="Arial"/>
          <w:szCs w:val="24"/>
        </w:rPr>
        <w:t xml:space="preserve">and their application in </w:t>
      </w:r>
      <w:r w:rsidR="00615118">
        <w:rPr>
          <w:rFonts w:cs="Arial"/>
          <w:szCs w:val="24"/>
        </w:rPr>
        <w:t>transplant decisions</w:t>
      </w:r>
      <w:r w:rsidR="002C4216" w:rsidRPr="000B753A">
        <w:rPr>
          <w:rFonts w:cs="Arial"/>
          <w:szCs w:val="24"/>
        </w:rPr>
        <w:t xml:space="preserve">. </w:t>
      </w:r>
      <w:r w:rsidR="0007015C" w:rsidRPr="000B753A">
        <w:rPr>
          <w:rFonts w:cs="Arial"/>
          <w:szCs w:val="24"/>
        </w:rPr>
        <w:t xml:space="preserve">NEAC recognises that there are likely to be disparate views on what factors should be taken into account </w:t>
      </w:r>
      <w:r w:rsidR="00F73F78" w:rsidRPr="000B753A">
        <w:rPr>
          <w:rFonts w:cs="Arial"/>
          <w:szCs w:val="24"/>
        </w:rPr>
        <w:t>and that some public views may be at odds with the views of other stakeholders</w:t>
      </w:r>
      <w:r w:rsidR="00C174E0">
        <w:rPr>
          <w:rFonts w:cs="Arial"/>
          <w:szCs w:val="24"/>
        </w:rPr>
        <w:t>,</w:t>
      </w:r>
      <w:r w:rsidR="00F73F78" w:rsidRPr="000B753A">
        <w:rPr>
          <w:rFonts w:cs="Arial"/>
          <w:szCs w:val="24"/>
        </w:rPr>
        <w:t xml:space="preserve"> such as clinicians. </w:t>
      </w:r>
      <w:r w:rsidR="00167D67" w:rsidRPr="000B753A">
        <w:rPr>
          <w:rFonts w:cs="Arial"/>
          <w:szCs w:val="24"/>
        </w:rPr>
        <w:t xml:space="preserve">However, </w:t>
      </w:r>
      <w:r w:rsidR="002C4216" w:rsidRPr="000B753A">
        <w:rPr>
          <w:rFonts w:cs="Arial"/>
          <w:szCs w:val="24"/>
        </w:rPr>
        <w:t xml:space="preserve">we consider </w:t>
      </w:r>
      <w:r w:rsidR="00167D67" w:rsidRPr="000B753A">
        <w:rPr>
          <w:rFonts w:cs="Arial"/>
          <w:szCs w:val="24"/>
        </w:rPr>
        <w:t xml:space="preserve">it is important that all views are heard. </w:t>
      </w:r>
    </w:p>
    <w:p w:rsidR="003C4B53" w:rsidRPr="000B753A" w:rsidRDefault="0007015C" w:rsidP="00114E07">
      <w:pPr>
        <w:numPr>
          <w:ilvl w:val="0"/>
          <w:numId w:val="2"/>
        </w:numPr>
        <w:tabs>
          <w:tab w:val="num" w:pos="540"/>
          <w:tab w:val="num" w:pos="570"/>
        </w:tabs>
        <w:spacing w:before="240" w:after="240"/>
        <w:ind w:left="570" w:hanging="570"/>
        <w:rPr>
          <w:rFonts w:cs="Arial"/>
          <w:szCs w:val="24"/>
        </w:rPr>
      </w:pPr>
      <w:r w:rsidRPr="000B753A">
        <w:rPr>
          <w:rFonts w:cs="Arial"/>
          <w:szCs w:val="24"/>
        </w:rPr>
        <w:t xml:space="preserve">Public engagement in </w:t>
      </w:r>
      <w:r w:rsidR="002C4216" w:rsidRPr="000B753A">
        <w:rPr>
          <w:rFonts w:cs="Arial"/>
          <w:szCs w:val="24"/>
        </w:rPr>
        <w:t xml:space="preserve">developing guidelines </w:t>
      </w:r>
      <w:r w:rsidRPr="000B753A">
        <w:rPr>
          <w:rFonts w:cs="Arial"/>
          <w:szCs w:val="24"/>
        </w:rPr>
        <w:t xml:space="preserve">may increase buy-in and trust through a shared understanding of how decisions are made. </w:t>
      </w:r>
      <w:r w:rsidR="00B746B0" w:rsidRPr="000B753A">
        <w:rPr>
          <w:rFonts w:cs="Arial"/>
          <w:szCs w:val="24"/>
        </w:rPr>
        <w:t>This</w:t>
      </w:r>
      <w:r w:rsidR="003C4B53" w:rsidRPr="000B753A">
        <w:rPr>
          <w:rFonts w:cs="Arial"/>
          <w:szCs w:val="24"/>
        </w:rPr>
        <w:t xml:space="preserve"> may increase organ donation in the future.</w:t>
      </w:r>
    </w:p>
    <w:p w:rsidR="00F8785C" w:rsidRPr="000B753A" w:rsidRDefault="00B746B0" w:rsidP="00114E07">
      <w:pPr>
        <w:numPr>
          <w:ilvl w:val="0"/>
          <w:numId w:val="2"/>
        </w:numPr>
        <w:tabs>
          <w:tab w:val="num" w:pos="540"/>
          <w:tab w:val="num" w:pos="570"/>
        </w:tabs>
        <w:spacing w:before="240" w:after="240"/>
        <w:ind w:left="570" w:hanging="570"/>
        <w:rPr>
          <w:rFonts w:cs="Arial"/>
          <w:szCs w:val="24"/>
        </w:rPr>
      </w:pPr>
      <w:r w:rsidRPr="000B753A">
        <w:rPr>
          <w:rFonts w:cs="Arial"/>
          <w:szCs w:val="24"/>
        </w:rPr>
        <w:t xml:space="preserve">NEAC considers that </w:t>
      </w:r>
      <w:r w:rsidR="003E4569" w:rsidRPr="000B753A">
        <w:rPr>
          <w:rFonts w:cs="Arial"/>
          <w:szCs w:val="24"/>
        </w:rPr>
        <w:t xml:space="preserve">it </w:t>
      </w:r>
      <w:r w:rsidR="003A6018" w:rsidRPr="000B753A">
        <w:rPr>
          <w:rFonts w:cs="Arial"/>
          <w:szCs w:val="24"/>
        </w:rPr>
        <w:t>is well-placed to</w:t>
      </w:r>
      <w:r w:rsidRPr="000B753A">
        <w:rPr>
          <w:rFonts w:cs="Arial"/>
          <w:szCs w:val="24"/>
        </w:rPr>
        <w:t xml:space="preserve"> undertake this work</w:t>
      </w:r>
      <w:r w:rsidR="003E4569" w:rsidRPr="000B753A">
        <w:rPr>
          <w:rFonts w:cs="Arial"/>
          <w:szCs w:val="24"/>
        </w:rPr>
        <w:t xml:space="preserve"> given </w:t>
      </w:r>
      <w:r w:rsidR="003A6018" w:rsidRPr="000B753A">
        <w:rPr>
          <w:rFonts w:cs="Arial"/>
          <w:szCs w:val="24"/>
        </w:rPr>
        <w:t>the ethical nature of the issues and its experience in</w:t>
      </w:r>
      <w:r w:rsidRPr="000B753A">
        <w:rPr>
          <w:rFonts w:cs="Arial"/>
          <w:szCs w:val="24"/>
        </w:rPr>
        <w:t xml:space="preserve"> </w:t>
      </w:r>
      <w:r w:rsidR="00D13EA0" w:rsidRPr="000B753A">
        <w:rPr>
          <w:rFonts w:cs="Arial"/>
          <w:szCs w:val="24"/>
        </w:rPr>
        <w:t>gathering</w:t>
      </w:r>
      <w:r w:rsidRPr="000B753A">
        <w:rPr>
          <w:rFonts w:cs="Arial"/>
          <w:szCs w:val="24"/>
        </w:rPr>
        <w:t xml:space="preserve"> community views.</w:t>
      </w:r>
      <w:r w:rsidR="002C4216" w:rsidRPr="000B753A">
        <w:rPr>
          <w:rFonts w:cs="Arial"/>
          <w:szCs w:val="24"/>
        </w:rPr>
        <w:t xml:space="preserve"> If you agree </w:t>
      </w:r>
      <w:r w:rsidR="00C174E0">
        <w:rPr>
          <w:rFonts w:cs="Arial"/>
          <w:szCs w:val="24"/>
        </w:rPr>
        <w:t>to</w:t>
      </w:r>
      <w:r w:rsidR="00C174E0" w:rsidRPr="000B753A">
        <w:rPr>
          <w:rFonts w:cs="Arial"/>
          <w:szCs w:val="24"/>
        </w:rPr>
        <w:t xml:space="preserve"> </w:t>
      </w:r>
      <w:r w:rsidR="002C4216" w:rsidRPr="000B753A">
        <w:rPr>
          <w:rFonts w:cs="Arial"/>
          <w:szCs w:val="24"/>
        </w:rPr>
        <w:t xml:space="preserve">NEAC undertaking further work, we suggest that this work is started once the </w:t>
      </w:r>
      <w:r w:rsidR="002C4216" w:rsidRPr="000B753A">
        <w:rPr>
          <w:rFonts w:eastAsia="Times New Roman" w:cs="Arial"/>
        </w:rPr>
        <w:t xml:space="preserve">Australian work on ethical guidelines is completed. This would mean that </w:t>
      </w:r>
      <w:r w:rsidR="00D708AA">
        <w:rPr>
          <w:rFonts w:eastAsia="Times New Roman" w:cs="Arial"/>
        </w:rPr>
        <w:t xml:space="preserve">NEAC’s </w:t>
      </w:r>
      <w:r w:rsidR="002C4216" w:rsidRPr="000B753A">
        <w:rPr>
          <w:rFonts w:eastAsia="Times New Roman" w:cs="Arial"/>
        </w:rPr>
        <w:t>work could be informed by the results of this work</w:t>
      </w:r>
      <w:r w:rsidR="00C174E0">
        <w:rPr>
          <w:rFonts w:eastAsia="Times New Roman" w:cs="Arial"/>
        </w:rPr>
        <w:t>, and</w:t>
      </w:r>
      <w:r w:rsidR="002C4216" w:rsidRPr="000B753A">
        <w:rPr>
          <w:rFonts w:eastAsia="Times New Roman" w:cs="Arial"/>
        </w:rPr>
        <w:t xml:space="preserve"> focus on the</w:t>
      </w:r>
      <w:r w:rsidR="00561F50" w:rsidRPr="000B753A">
        <w:rPr>
          <w:rFonts w:eastAsia="Times New Roman" w:cs="Arial"/>
        </w:rPr>
        <w:t xml:space="preserve"> </w:t>
      </w:r>
      <w:r w:rsidR="00D708AA">
        <w:rPr>
          <w:rFonts w:eastAsia="Times New Roman" w:cs="Arial"/>
        </w:rPr>
        <w:t xml:space="preserve">Australian </w:t>
      </w:r>
      <w:r w:rsidR="00561F50" w:rsidRPr="000B753A">
        <w:rPr>
          <w:rFonts w:eastAsia="Times New Roman" w:cs="Arial"/>
        </w:rPr>
        <w:t xml:space="preserve">guideline’s </w:t>
      </w:r>
      <w:r w:rsidR="002C4216" w:rsidRPr="000B753A">
        <w:rPr>
          <w:rFonts w:eastAsia="Times New Roman" w:cs="Arial"/>
        </w:rPr>
        <w:t xml:space="preserve">application in the New Zealand context. </w:t>
      </w:r>
    </w:p>
    <w:p w:rsidR="005379F1" w:rsidRPr="00A5006E" w:rsidRDefault="00511E7C" w:rsidP="006C6F49">
      <w:pPr>
        <w:pStyle w:val="Heading2"/>
      </w:pPr>
      <w:r w:rsidRPr="00A5006E">
        <w:t>Deceased donor list numbers</w:t>
      </w:r>
    </w:p>
    <w:p w:rsidR="00561F50" w:rsidRPr="000B753A" w:rsidRDefault="00561F50" w:rsidP="00114E07">
      <w:pPr>
        <w:numPr>
          <w:ilvl w:val="0"/>
          <w:numId w:val="2"/>
        </w:numPr>
        <w:tabs>
          <w:tab w:val="num" w:pos="540"/>
          <w:tab w:val="num" w:pos="570"/>
        </w:tabs>
        <w:spacing w:before="240" w:after="240"/>
        <w:ind w:left="570" w:hanging="570"/>
        <w:rPr>
          <w:rFonts w:cs="Arial"/>
          <w:szCs w:val="24"/>
        </w:rPr>
      </w:pPr>
      <w:r w:rsidRPr="000B753A">
        <w:rPr>
          <w:rFonts w:cs="Arial"/>
          <w:szCs w:val="24"/>
        </w:rPr>
        <w:t xml:space="preserve">There are more people on the deceased donor waiting lists than there are organs available and some people will never get an organ. </w:t>
      </w:r>
    </w:p>
    <w:p w:rsidR="00561F50" w:rsidRPr="000B753A" w:rsidRDefault="00561F50" w:rsidP="00114E07">
      <w:pPr>
        <w:numPr>
          <w:ilvl w:val="0"/>
          <w:numId w:val="2"/>
        </w:numPr>
        <w:tabs>
          <w:tab w:val="num" w:pos="540"/>
          <w:tab w:val="num" w:pos="570"/>
        </w:tabs>
        <w:spacing w:before="240" w:after="240"/>
        <w:ind w:left="570" w:hanging="570"/>
        <w:rPr>
          <w:rFonts w:cs="Arial"/>
          <w:szCs w:val="24"/>
        </w:rPr>
      </w:pPr>
      <w:r w:rsidRPr="000B753A">
        <w:rPr>
          <w:rFonts w:cs="Arial"/>
          <w:szCs w:val="24"/>
        </w:rPr>
        <w:t>The nature of end-stage heart or lung disease means that patients w</w:t>
      </w:r>
      <w:r w:rsidR="000B753A" w:rsidRPr="000B753A">
        <w:rPr>
          <w:rFonts w:cs="Arial"/>
          <w:szCs w:val="24"/>
        </w:rPr>
        <w:t>ho need new organs will usually not live long without them</w:t>
      </w:r>
      <w:r w:rsidRPr="000B753A">
        <w:rPr>
          <w:rFonts w:cs="Arial"/>
          <w:szCs w:val="24"/>
        </w:rPr>
        <w:t xml:space="preserve">. The waiting lists for hearts and lungs run only slightly higher than the number of organs transplanted each year. </w:t>
      </w:r>
      <w:r w:rsidR="00E87535" w:rsidRPr="000B753A">
        <w:rPr>
          <w:rFonts w:cs="Arial"/>
          <w:szCs w:val="24"/>
        </w:rPr>
        <w:t xml:space="preserve">The median waiting time for a lung transplant is 18 months. </w:t>
      </w:r>
      <w:r w:rsidRPr="000B753A">
        <w:rPr>
          <w:rFonts w:cs="Arial"/>
          <w:szCs w:val="24"/>
        </w:rPr>
        <w:t>The New Zealand Lung Transplant unit does not place people on the active waiting list who they do not believe will live to transplant</w:t>
      </w:r>
      <w:r w:rsidR="000B753A" w:rsidRPr="000B753A">
        <w:rPr>
          <w:rFonts w:cs="Arial"/>
          <w:szCs w:val="24"/>
        </w:rPr>
        <w:t>;</w:t>
      </w:r>
      <w:r w:rsidRPr="000B753A">
        <w:rPr>
          <w:rFonts w:cs="Arial"/>
          <w:szCs w:val="24"/>
        </w:rPr>
        <w:t xml:space="preserve"> however deaths do occur while awaiting transplant. </w:t>
      </w:r>
    </w:p>
    <w:p w:rsidR="00C00C0E" w:rsidRPr="000B753A" w:rsidRDefault="00561F50" w:rsidP="00114E07">
      <w:pPr>
        <w:numPr>
          <w:ilvl w:val="0"/>
          <w:numId w:val="2"/>
        </w:numPr>
        <w:tabs>
          <w:tab w:val="num" w:pos="540"/>
          <w:tab w:val="num" w:pos="570"/>
        </w:tabs>
        <w:spacing w:before="240" w:after="240"/>
        <w:ind w:left="570" w:hanging="570"/>
        <w:rPr>
          <w:rFonts w:cs="Arial"/>
          <w:szCs w:val="24"/>
        </w:rPr>
      </w:pPr>
      <w:r w:rsidRPr="000B753A">
        <w:rPr>
          <w:rFonts w:cs="Arial"/>
          <w:szCs w:val="24"/>
        </w:rPr>
        <w:t>Patients with kidney failure have an opti</w:t>
      </w:r>
      <w:r w:rsidR="009E392A">
        <w:rPr>
          <w:rFonts w:cs="Arial"/>
          <w:szCs w:val="24"/>
        </w:rPr>
        <w:t>on of dialysis, often for long periods</w:t>
      </w:r>
      <w:r w:rsidRPr="000B753A">
        <w:rPr>
          <w:rFonts w:cs="Arial"/>
          <w:szCs w:val="24"/>
        </w:rPr>
        <w:t xml:space="preserve">; therefore </w:t>
      </w:r>
      <w:r w:rsidR="00E87535" w:rsidRPr="000B753A">
        <w:rPr>
          <w:rFonts w:cs="Arial"/>
          <w:szCs w:val="24"/>
        </w:rPr>
        <w:t xml:space="preserve">they </w:t>
      </w:r>
      <w:r w:rsidRPr="000B753A">
        <w:rPr>
          <w:rFonts w:cs="Arial"/>
          <w:szCs w:val="24"/>
        </w:rPr>
        <w:t xml:space="preserve">are able to remain on the list for a longer time than other organs. </w:t>
      </w:r>
      <w:r w:rsidR="00C00C0E" w:rsidRPr="000B753A">
        <w:rPr>
          <w:rFonts w:cs="Arial"/>
          <w:szCs w:val="24"/>
        </w:rPr>
        <w:t>There are approximately 600 people on the waiting list for a kidney, about 170 patients are added to the list each year and transplants are performed for about 110 (using living and deceased donor organs). A significant minority will never have been on the deceased donor list because they have been able to find a suitable living donor</w:t>
      </w:r>
      <w:r w:rsidR="00E87535" w:rsidRPr="000B753A">
        <w:rPr>
          <w:rFonts w:cs="Arial"/>
          <w:szCs w:val="24"/>
        </w:rPr>
        <w:t xml:space="preserve"> (before being considered for the list)</w:t>
      </w:r>
      <w:r w:rsidR="00C00C0E" w:rsidRPr="000B753A">
        <w:rPr>
          <w:rFonts w:cs="Arial"/>
          <w:szCs w:val="24"/>
        </w:rPr>
        <w:t xml:space="preserve">. </w:t>
      </w:r>
    </w:p>
    <w:p w:rsidR="00561F50" w:rsidRDefault="00561F50" w:rsidP="00114E07">
      <w:pPr>
        <w:numPr>
          <w:ilvl w:val="0"/>
          <w:numId w:val="2"/>
        </w:numPr>
        <w:tabs>
          <w:tab w:val="num" w:pos="540"/>
          <w:tab w:val="num" w:pos="570"/>
        </w:tabs>
        <w:spacing w:before="240" w:after="240"/>
        <w:ind w:left="570" w:hanging="570"/>
        <w:rPr>
          <w:rFonts w:cs="Arial"/>
          <w:szCs w:val="24"/>
        </w:rPr>
      </w:pPr>
      <w:r w:rsidRPr="000B753A">
        <w:rPr>
          <w:rFonts w:cs="Arial"/>
          <w:szCs w:val="24"/>
        </w:rPr>
        <w:lastRenderedPageBreak/>
        <w:t xml:space="preserve">The rate at which patients are added to the deceased donor kidney list is less than the transplant rate in several countries now, </w:t>
      </w:r>
      <w:r w:rsidR="00C00C0E" w:rsidRPr="000B753A">
        <w:rPr>
          <w:rFonts w:cs="Arial"/>
          <w:szCs w:val="24"/>
        </w:rPr>
        <w:t xml:space="preserve">including Australia. Over time this is likely to result in a reduction in waiting list numbers. In New Zealand, there is currently no attempt to match the number added to the list to the number of transplants. We have been advised that, in the case of kidneys, this is because patients can remain on dialysis while they wait. </w:t>
      </w:r>
    </w:p>
    <w:p w:rsidR="009E392A" w:rsidRPr="000B753A" w:rsidRDefault="009E392A" w:rsidP="009E392A">
      <w:pPr>
        <w:numPr>
          <w:ilvl w:val="0"/>
          <w:numId w:val="2"/>
        </w:numPr>
        <w:tabs>
          <w:tab w:val="num" w:pos="540"/>
          <w:tab w:val="num" w:pos="570"/>
        </w:tabs>
        <w:spacing w:before="240" w:after="240"/>
        <w:ind w:left="570" w:hanging="570"/>
        <w:rPr>
          <w:rFonts w:cs="Arial"/>
          <w:szCs w:val="24"/>
        </w:rPr>
      </w:pPr>
      <w:r w:rsidRPr="000B753A">
        <w:rPr>
          <w:rFonts w:cs="Arial"/>
          <w:szCs w:val="24"/>
        </w:rPr>
        <w:t>The average wait time from the start of dialysis to receiving a deceased donor kidney is three years, but many on the list will never receive a kidney (</w:t>
      </w:r>
      <w:proofErr w:type="spellStart"/>
      <w:r w:rsidRPr="000B753A">
        <w:rPr>
          <w:rFonts w:cs="Arial"/>
          <w:szCs w:val="24"/>
        </w:rPr>
        <w:t>eg</w:t>
      </w:r>
      <w:proofErr w:type="spellEnd"/>
      <w:r w:rsidRPr="000B753A">
        <w:rPr>
          <w:rFonts w:cs="Arial"/>
          <w:szCs w:val="24"/>
        </w:rPr>
        <w:t>, due to death prior to transplant, or removal from the list due to a new co</w:t>
      </w:r>
      <w:r>
        <w:rPr>
          <w:rFonts w:cs="Arial"/>
          <w:szCs w:val="24"/>
        </w:rPr>
        <w:t>-</w:t>
      </w:r>
      <w:r w:rsidRPr="000B753A">
        <w:rPr>
          <w:rFonts w:cs="Arial"/>
          <w:szCs w:val="24"/>
        </w:rPr>
        <w:t>morbidity).</w:t>
      </w:r>
      <w:r>
        <w:rPr>
          <w:rFonts w:cs="Arial"/>
          <w:szCs w:val="24"/>
        </w:rPr>
        <w:t xml:space="preserve">  It is possible that some people of the waiting list may not realise that they have very low chances of being transplanted.  Some stakeholders have raised an ethical issue of whether these people live in ‘false hope’.</w:t>
      </w:r>
      <w:r w:rsidRPr="000B753A">
        <w:rPr>
          <w:rFonts w:cs="Arial"/>
          <w:szCs w:val="24"/>
        </w:rPr>
        <w:t xml:space="preserve"> </w:t>
      </w:r>
    </w:p>
    <w:p w:rsidR="00805D81" w:rsidRPr="00A5006E" w:rsidRDefault="00805D81" w:rsidP="00114E07">
      <w:pPr>
        <w:tabs>
          <w:tab w:val="num" w:pos="1163"/>
        </w:tabs>
        <w:spacing w:before="240" w:after="240"/>
        <w:rPr>
          <w:rFonts w:cs="Arial"/>
          <w:i/>
          <w:szCs w:val="24"/>
        </w:rPr>
      </w:pPr>
      <w:r w:rsidRPr="00A5006E">
        <w:rPr>
          <w:rFonts w:cs="Arial"/>
          <w:i/>
          <w:szCs w:val="24"/>
        </w:rPr>
        <w:t>Recommendation</w:t>
      </w:r>
    </w:p>
    <w:p w:rsidR="00511E7C" w:rsidRPr="000B753A" w:rsidRDefault="00511E7C" w:rsidP="00114E07">
      <w:pPr>
        <w:numPr>
          <w:ilvl w:val="0"/>
          <w:numId w:val="2"/>
        </w:numPr>
        <w:tabs>
          <w:tab w:val="num" w:pos="540"/>
          <w:tab w:val="num" w:pos="570"/>
        </w:tabs>
        <w:spacing w:before="240" w:after="240"/>
        <w:ind w:left="570" w:hanging="570"/>
        <w:rPr>
          <w:rFonts w:cs="Arial"/>
          <w:szCs w:val="24"/>
        </w:rPr>
      </w:pPr>
      <w:r w:rsidRPr="000B753A">
        <w:rPr>
          <w:rFonts w:cs="Arial"/>
          <w:szCs w:val="24"/>
        </w:rPr>
        <w:t xml:space="preserve">NEAC </w:t>
      </w:r>
      <w:r w:rsidR="00615118">
        <w:rPr>
          <w:rFonts w:cs="Arial"/>
          <w:szCs w:val="24"/>
        </w:rPr>
        <w:t xml:space="preserve">recommends that you </w:t>
      </w:r>
      <w:r w:rsidR="00A2669C">
        <w:rPr>
          <w:rFonts w:cs="Arial"/>
          <w:szCs w:val="24"/>
        </w:rPr>
        <w:t xml:space="preserve">direct the Ministry of Health to advise how best to progress work </w:t>
      </w:r>
      <w:r w:rsidR="00A2669C" w:rsidRPr="00A5006E">
        <w:rPr>
          <w:rFonts w:cs="Arial"/>
          <w:szCs w:val="24"/>
        </w:rPr>
        <w:t xml:space="preserve">on the way waiting lists for </w:t>
      </w:r>
      <w:r w:rsidR="00A2669C">
        <w:rPr>
          <w:rFonts w:cs="Arial"/>
          <w:szCs w:val="24"/>
        </w:rPr>
        <w:t>kidneys</w:t>
      </w:r>
      <w:r w:rsidR="00A2669C" w:rsidRPr="00A5006E">
        <w:rPr>
          <w:rFonts w:cs="Arial"/>
          <w:szCs w:val="24"/>
        </w:rPr>
        <w:t xml:space="preserve"> are managed</w:t>
      </w:r>
      <w:r w:rsidR="006A21EF">
        <w:rPr>
          <w:rFonts w:cs="Arial"/>
          <w:szCs w:val="24"/>
        </w:rPr>
        <w:t xml:space="preserve"> and the ethical implications of</w:t>
      </w:r>
      <w:r w:rsidR="00A2669C" w:rsidRPr="00A5006E">
        <w:rPr>
          <w:rFonts w:cs="Arial"/>
          <w:szCs w:val="24"/>
        </w:rPr>
        <w:t xml:space="preserve"> ‘false hope’</w:t>
      </w:r>
      <w:r w:rsidR="00A2669C">
        <w:rPr>
          <w:rFonts w:cs="Arial"/>
          <w:szCs w:val="24"/>
        </w:rPr>
        <w:t xml:space="preserve">. </w:t>
      </w:r>
      <w:r w:rsidR="00C00C0E" w:rsidRPr="000B753A">
        <w:rPr>
          <w:rFonts w:cs="Arial"/>
          <w:szCs w:val="24"/>
        </w:rPr>
        <w:t xml:space="preserve">Patient views will form an important part of this work as it is not clear whether the current situation is even a concern. </w:t>
      </w:r>
    </w:p>
    <w:p w:rsidR="006E7884" w:rsidRPr="00A5006E" w:rsidRDefault="0032129F" w:rsidP="006C6F49">
      <w:pPr>
        <w:pStyle w:val="Heading2"/>
      </w:pPr>
      <w:r w:rsidRPr="00A5006E">
        <w:t>Conclusions</w:t>
      </w:r>
    </w:p>
    <w:p w:rsidR="0032129F" w:rsidRPr="00615118" w:rsidRDefault="00B3664F" w:rsidP="00114E07">
      <w:pPr>
        <w:numPr>
          <w:ilvl w:val="0"/>
          <w:numId w:val="2"/>
        </w:numPr>
        <w:tabs>
          <w:tab w:val="num" w:pos="540"/>
          <w:tab w:val="num" w:pos="570"/>
        </w:tabs>
        <w:spacing w:before="240" w:after="240"/>
        <w:ind w:left="570" w:hanging="570"/>
        <w:rPr>
          <w:rFonts w:cs="Arial"/>
          <w:szCs w:val="24"/>
        </w:rPr>
      </w:pPr>
      <w:r w:rsidRPr="00A5006E">
        <w:rPr>
          <w:rFonts w:cs="Arial"/>
          <w:szCs w:val="24"/>
        </w:rPr>
        <w:t xml:space="preserve">Organ </w:t>
      </w:r>
      <w:r w:rsidR="004629E1">
        <w:rPr>
          <w:rFonts w:cs="Arial"/>
          <w:szCs w:val="24"/>
        </w:rPr>
        <w:t xml:space="preserve">transplantation </w:t>
      </w:r>
      <w:r w:rsidRPr="00A5006E">
        <w:rPr>
          <w:rFonts w:cs="Arial"/>
          <w:szCs w:val="24"/>
        </w:rPr>
        <w:t>is an e</w:t>
      </w:r>
      <w:r w:rsidR="0032129F" w:rsidRPr="00A5006E">
        <w:rPr>
          <w:rFonts w:cs="Arial"/>
          <w:szCs w:val="24"/>
        </w:rPr>
        <w:t>thically-challenging subject.</w:t>
      </w:r>
      <w:r w:rsidR="00F04F29" w:rsidRPr="00A5006E">
        <w:rPr>
          <w:rFonts w:cs="Arial"/>
          <w:szCs w:val="24"/>
        </w:rPr>
        <w:t xml:space="preserve"> NEAC’s initial work suggests that</w:t>
      </w:r>
      <w:r w:rsidR="0013064C" w:rsidRPr="00A5006E">
        <w:rPr>
          <w:rFonts w:cs="Arial"/>
          <w:szCs w:val="24"/>
        </w:rPr>
        <w:t xml:space="preserve"> </w:t>
      </w:r>
      <w:r w:rsidR="00F04F29" w:rsidRPr="00A5006E">
        <w:rPr>
          <w:rFonts w:cs="Arial"/>
          <w:szCs w:val="24"/>
        </w:rPr>
        <w:t>t</w:t>
      </w:r>
      <w:r w:rsidR="0013064C" w:rsidRPr="00A5006E">
        <w:rPr>
          <w:rFonts w:cs="Arial"/>
          <w:szCs w:val="24"/>
        </w:rPr>
        <w:t xml:space="preserve">he decisions made, and the basis behind these decisions, </w:t>
      </w:r>
      <w:r w:rsidR="001E3FFE" w:rsidRPr="00A5006E">
        <w:rPr>
          <w:rFonts w:cs="Arial"/>
          <w:szCs w:val="24"/>
        </w:rPr>
        <w:t>may not be as transparent and consistent as they could be</w:t>
      </w:r>
      <w:r w:rsidR="0013064C" w:rsidRPr="00A5006E">
        <w:rPr>
          <w:rFonts w:cs="Arial"/>
          <w:szCs w:val="24"/>
        </w:rPr>
        <w:t>.</w:t>
      </w:r>
    </w:p>
    <w:p w:rsidR="00E2225D" w:rsidRPr="00615118" w:rsidRDefault="00E2225D" w:rsidP="00114E07">
      <w:pPr>
        <w:numPr>
          <w:ilvl w:val="0"/>
          <w:numId w:val="2"/>
        </w:numPr>
        <w:tabs>
          <w:tab w:val="num" w:pos="540"/>
          <w:tab w:val="num" w:pos="570"/>
        </w:tabs>
        <w:spacing w:before="240" w:after="240"/>
        <w:ind w:left="570" w:hanging="570"/>
        <w:rPr>
          <w:rFonts w:cs="Arial"/>
          <w:szCs w:val="24"/>
        </w:rPr>
      </w:pPr>
      <w:r w:rsidRPr="00A5006E">
        <w:rPr>
          <w:rFonts w:cs="Arial"/>
          <w:szCs w:val="24"/>
        </w:rPr>
        <w:t xml:space="preserve">NEAC </w:t>
      </w:r>
      <w:r w:rsidR="00F04F29" w:rsidRPr="00A5006E">
        <w:rPr>
          <w:rFonts w:cs="Arial"/>
          <w:szCs w:val="24"/>
        </w:rPr>
        <w:t>recommends</w:t>
      </w:r>
      <w:r w:rsidRPr="00A5006E">
        <w:rPr>
          <w:rFonts w:cs="Arial"/>
          <w:szCs w:val="24"/>
        </w:rPr>
        <w:t xml:space="preserve"> </w:t>
      </w:r>
      <w:r w:rsidR="00C5068F" w:rsidRPr="00A5006E">
        <w:rPr>
          <w:rFonts w:cs="Arial"/>
          <w:szCs w:val="24"/>
        </w:rPr>
        <w:t>three</w:t>
      </w:r>
      <w:r w:rsidRPr="00A5006E">
        <w:rPr>
          <w:rFonts w:cs="Arial"/>
          <w:szCs w:val="24"/>
        </w:rPr>
        <w:t xml:space="preserve"> areas </w:t>
      </w:r>
      <w:r w:rsidR="00F04F29" w:rsidRPr="00A5006E">
        <w:rPr>
          <w:rFonts w:cs="Arial"/>
          <w:szCs w:val="24"/>
        </w:rPr>
        <w:t xml:space="preserve">for further work: </w:t>
      </w:r>
      <w:r w:rsidR="00C174E0">
        <w:rPr>
          <w:rFonts w:eastAsia="Times New Roman" w:cs="Arial"/>
          <w:szCs w:val="24"/>
        </w:rPr>
        <w:t xml:space="preserve">examining the factors that contribute to </w:t>
      </w:r>
      <w:r w:rsidR="00F04F29" w:rsidRPr="00A5006E">
        <w:rPr>
          <w:rFonts w:cs="Arial"/>
          <w:szCs w:val="24"/>
        </w:rPr>
        <w:t xml:space="preserve">unequal access; </w:t>
      </w:r>
      <w:r w:rsidR="00C174E0">
        <w:rPr>
          <w:rFonts w:cs="Arial"/>
          <w:szCs w:val="24"/>
        </w:rPr>
        <w:t xml:space="preserve">the </w:t>
      </w:r>
      <w:r w:rsidR="00C00C0E">
        <w:rPr>
          <w:rFonts w:cs="Arial"/>
          <w:szCs w:val="24"/>
        </w:rPr>
        <w:t>application of ethical principles</w:t>
      </w:r>
      <w:r w:rsidR="00F04F29" w:rsidRPr="00A5006E">
        <w:rPr>
          <w:rFonts w:cs="Arial"/>
          <w:szCs w:val="24"/>
        </w:rPr>
        <w:t xml:space="preserve">; and </w:t>
      </w:r>
      <w:r w:rsidR="00C174E0">
        <w:rPr>
          <w:rFonts w:cs="Arial"/>
          <w:szCs w:val="24"/>
        </w:rPr>
        <w:t xml:space="preserve">how </w:t>
      </w:r>
      <w:r w:rsidR="00D15567" w:rsidRPr="00A5006E">
        <w:rPr>
          <w:rFonts w:cs="Arial"/>
          <w:szCs w:val="24"/>
        </w:rPr>
        <w:t xml:space="preserve">deceased </w:t>
      </w:r>
      <w:r w:rsidR="00F04F29" w:rsidRPr="00A5006E">
        <w:rPr>
          <w:rFonts w:cs="Arial"/>
          <w:szCs w:val="24"/>
        </w:rPr>
        <w:t>donor list numbers</w:t>
      </w:r>
      <w:r w:rsidR="00C174E0">
        <w:rPr>
          <w:rFonts w:cs="Arial"/>
          <w:szCs w:val="24"/>
        </w:rPr>
        <w:t xml:space="preserve"> for kidneys are managed</w:t>
      </w:r>
      <w:r w:rsidR="001E3FFE" w:rsidRPr="00A5006E">
        <w:rPr>
          <w:rFonts w:cs="Arial"/>
          <w:szCs w:val="24"/>
        </w:rPr>
        <w:t xml:space="preserve">. </w:t>
      </w:r>
    </w:p>
    <w:p w:rsidR="00F04F29" w:rsidRPr="00615118" w:rsidRDefault="00F04F29" w:rsidP="00114E07">
      <w:pPr>
        <w:numPr>
          <w:ilvl w:val="0"/>
          <w:numId w:val="2"/>
        </w:numPr>
        <w:tabs>
          <w:tab w:val="num" w:pos="540"/>
          <w:tab w:val="num" w:pos="570"/>
        </w:tabs>
        <w:spacing w:before="240" w:after="240"/>
        <w:ind w:left="570" w:hanging="570"/>
        <w:rPr>
          <w:rFonts w:cs="Arial"/>
          <w:szCs w:val="24"/>
        </w:rPr>
      </w:pPr>
      <w:r w:rsidRPr="00A5006E">
        <w:rPr>
          <w:rFonts w:cs="Arial"/>
          <w:szCs w:val="24"/>
        </w:rPr>
        <w:t>NEAC</w:t>
      </w:r>
      <w:r w:rsidR="00811201" w:rsidRPr="00A5006E">
        <w:rPr>
          <w:rFonts w:cs="Arial"/>
          <w:szCs w:val="24"/>
        </w:rPr>
        <w:t xml:space="preserve">’s </w:t>
      </w:r>
      <w:r w:rsidRPr="00A5006E">
        <w:rPr>
          <w:rFonts w:cs="Arial"/>
          <w:szCs w:val="24"/>
        </w:rPr>
        <w:t xml:space="preserve">findings are indicative rather than definitive because of the limited consultation to date. NEAC has not consulted with patients, health sector stakeholders beyond those listed in </w:t>
      </w:r>
      <w:r w:rsidR="006C6A5A">
        <w:rPr>
          <w:rFonts w:cs="Arial"/>
          <w:szCs w:val="24"/>
        </w:rPr>
        <w:t>A</w:t>
      </w:r>
      <w:r w:rsidRPr="00A5006E">
        <w:rPr>
          <w:rFonts w:cs="Arial"/>
          <w:szCs w:val="24"/>
        </w:rPr>
        <w:t xml:space="preserve">ppendix </w:t>
      </w:r>
      <w:r w:rsidR="006C6A5A">
        <w:rPr>
          <w:rFonts w:cs="Arial"/>
          <w:szCs w:val="24"/>
        </w:rPr>
        <w:t>1</w:t>
      </w:r>
      <w:r w:rsidRPr="00A5006E">
        <w:rPr>
          <w:rFonts w:cs="Arial"/>
          <w:szCs w:val="24"/>
        </w:rPr>
        <w:t xml:space="preserve">, or the wider public. </w:t>
      </w:r>
    </w:p>
    <w:p w:rsidR="00F04F29" w:rsidRPr="00615118" w:rsidRDefault="00F04F29" w:rsidP="00114E07">
      <w:pPr>
        <w:numPr>
          <w:ilvl w:val="0"/>
          <w:numId w:val="2"/>
        </w:numPr>
        <w:tabs>
          <w:tab w:val="num" w:pos="540"/>
          <w:tab w:val="num" w:pos="570"/>
        </w:tabs>
        <w:spacing w:before="240" w:after="240"/>
        <w:ind w:left="570" w:hanging="570"/>
        <w:rPr>
          <w:rFonts w:cs="Arial"/>
          <w:szCs w:val="24"/>
        </w:rPr>
      </w:pPr>
      <w:r w:rsidRPr="00A5006E">
        <w:rPr>
          <w:rFonts w:cs="Arial"/>
          <w:szCs w:val="24"/>
        </w:rPr>
        <w:t xml:space="preserve">NEAC </w:t>
      </w:r>
      <w:r w:rsidR="00615118">
        <w:rPr>
          <w:rFonts w:cs="Arial"/>
          <w:szCs w:val="24"/>
        </w:rPr>
        <w:t>suggests that in</w:t>
      </w:r>
      <w:r w:rsidRPr="00A5006E">
        <w:rPr>
          <w:rFonts w:cs="Arial"/>
          <w:szCs w:val="24"/>
        </w:rPr>
        <w:t>volv</w:t>
      </w:r>
      <w:r w:rsidR="00410680">
        <w:rPr>
          <w:rFonts w:cs="Arial"/>
          <w:szCs w:val="24"/>
        </w:rPr>
        <w:t xml:space="preserve">ing </w:t>
      </w:r>
      <w:r w:rsidRPr="00A5006E">
        <w:rPr>
          <w:rFonts w:cs="Arial"/>
          <w:szCs w:val="24"/>
        </w:rPr>
        <w:t xml:space="preserve">the public </w:t>
      </w:r>
      <w:r w:rsidR="00410680">
        <w:rPr>
          <w:rFonts w:cs="Arial"/>
          <w:szCs w:val="24"/>
        </w:rPr>
        <w:t xml:space="preserve">in any future work </w:t>
      </w:r>
      <w:r w:rsidRPr="00A5006E">
        <w:rPr>
          <w:rFonts w:cs="Arial"/>
          <w:szCs w:val="24"/>
        </w:rPr>
        <w:t>may</w:t>
      </w:r>
      <w:r w:rsidR="00410680">
        <w:rPr>
          <w:rFonts w:cs="Arial"/>
          <w:szCs w:val="24"/>
        </w:rPr>
        <w:t xml:space="preserve"> help to </w:t>
      </w:r>
      <w:r w:rsidRPr="00A5006E">
        <w:rPr>
          <w:rFonts w:cs="Arial"/>
          <w:szCs w:val="24"/>
        </w:rPr>
        <w:t xml:space="preserve">increase the rates of organ donation </w:t>
      </w:r>
      <w:r w:rsidR="00410680">
        <w:rPr>
          <w:rFonts w:cs="Arial"/>
          <w:szCs w:val="24"/>
        </w:rPr>
        <w:t xml:space="preserve">through increased </w:t>
      </w:r>
      <w:r w:rsidRPr="00A5006E">
        <w:rPr>
          <w:rFonts w:cs="Arial"/>
          <w:szCs w:val="24"/>
        </w:rPr>
        <w:t>buy-in.</w:t>
      </w:r>
    </w:p>
    <w:p w:rsidR="00C00C0E" w:rsidRDefault="00C00C0E" w:rsidP="0052620C">
      <w:pPr>
        <w:rPr>
          <w:rFonts w:cs="Arial"/>
          <w:b/>
          <w:szCs w:val="24"/>
        </w:rPr>
      </w:pPr>
      <w:r>
        <w:rPr>
          <w:rFonts w:cs="Arial"/>
          <w:b/>
          <w:szCs w:val="24"/>
        </w:rPr>
        <w:br w:type="page"/>
      </w:r>
    </w:p>
    <w:p w:rsidR="008F7B5B" w:rsidRPr="00A5006E" w:rsidRDefault="00973780" w:rsidP="006C6F49">
      <w:pPr>
        <w:pStyle w:val="Heading1"/>
      </w:pPr>
      <w:r w:rsidRPr="00A5006E">
        <w:lastRenderedPageBreak/>
        <w:t>Appendix 1: Consulted parties</w:t>
      </w:r>
    </w:p>
    <w:p w:rsidR="00973780" w:rsidRPr="00A5006E" w:rsidRDefault="00973780" w:rsidP="00114E07">
      <w:pPr>
        <w:pStyle w:val="NEACbullet"/>
        <w:spacing w:line="276" w:lineRule="auto"/>
        <w:ind w:left="0" w:firstLine="0"/>
        <w:rPr>
          <w:rFonts w:ascii="Arial" w:hAnsi="Arial" w:cs="Arial"/>
        </w:rPr>
      </w:pPr>
      <w:r w:rsidRPr="00A5006E">
        <w:rPr>
          <w:rFonts w:ascii="Arial" w:hAnsi="Arial" w:cs="Arial"/>
        </w:rPr>
        <w:t xml:space="preserve">NEAC met with representatives from the following organisations and groups: </w:t>
      </w:r>
    </w:p>
    <w:p w:rsidR="00973780" w:rsidRPr="00F43225" w:rsidRDefault="00973780" w:rsidP="00114E07">
      <w:pPr>
        <w:pStyle w:val="Number"/>
        <w:keepNext/>
        <w:numPr>
          <w:ilvl w:val="0"/>
          <w:numId w:val="5"/>
        </w:numPr>
        <w:spacing w:line="276" w:lineRule="auto"/>
        <w:rPr>
          <w:rFonts w:cs="Arial"/>
          <w:sz w:val="24"/>
          <w:szCs w:val="24"/>
        </w:rPr>
      </w:pPr>
      <w:r w:rsidRPr="00F43225">
        <w:rPr>
          <w:rFonts w:cs="Arial"/>
          <w:sz w:val="24"/>
          <w:szCs w:val="24"/>
        </w:rPr>
        <w:t>Dunedin School of Medicine, University of Otago</w:t>
      </w:r>
    </w:p>
    <w:p w:rsidR="00973780" w:rsidRPr="00F43225" w:rsidRDefault="00973780" w:rsidP="00114E07">
      <w:pPr>
        <w:pStyle w:val="Number"/>
        <w:keepNext/>
        <w:numPr>
          <w:ilvl w:val="0"/>
          <w:numId w:val="5"/>
        </w:numPr>
        <w:spacing w:line="276" w:lineRule="auto"/>
        <w:rPr>
          <w:rFonts w:cs="Arial"/>
          <w:sz w:val="24"/>
          <w:szCs w:val="24"/>
        </w:rPr>
      </w:pPr>
      <w:r w:rsidRPr="00F43225">
        <w:rPr>
          <w:rFonts w:cs="Arial"/>
          <w:sz w:val="24"/>
          <w:szCs w:val="24"/>
        </w:rPr>
        <w:t>Māori Health, Auckland and Waitemata DHBs</w:t>
      </w:r>
    </w:p>
    <w:p w:rsidR="00973780" w:rsidRPr="00F43225" w:rsidRDefault="00973780" w:rsidP="00114E07">
      <w:pPr>
        <w:pStyle w:val="Number"/>
        <w:keepNext/>
        <w:numPr>
          <w:ilvl w:val="0"/>
          <w:numId w:val="5"/>
        </w:numPr>
        <w:spacing w:line="276" w:lineRule="auto"/>
        <w:rPr>
          <w:rFonts w:cs="Arial"/>
          <w:sz w:val="24"/>
          <w:szCs w:val="24"/>
        </w:rPr>
      </w:pPr>
      <w:r w:rsidRPr="00F43225">
        <w:rPr>
          <w:rFonts w:cs="Arial"/>
          <w:sz w:val="24"/>
          <w:szCs w:val="24"/>
        </w:rPr>
        <w:t>Department of Nephrology</w:t>
      </w:r>
      <w:r w:rsidR="00D02BF3" w:rsidRPr="00F43225">
        <w:rPr>
          <w:rFonts w:cs="Arial"/>
          <w:sz w:val="24"/>
          <w:szCs w:val="24"/>
        </w:rPr>
        <w:t>,</w:t>
      </w:r>
      <w:r w:rsidRPr="00F43225">
        <w:rPr>
          <w:rFonts w:cs="Arial"/>
          <w:sz w:val="24"/>
          <w:szCs w:val="24"/>
        </w:rPr>
        <w:t xml:space="preserve"> Christchurch Hospital</w:t>
      </w:r>
    </w:p>
    <w:p w:rsidR="00973780" w:rsidRPr="00F43225" w:rsidRDefault="001D23AD" w:rsidP="00114E07">
      <w:pPr>
        <w:pStyle w:val="Number"/>
        <w:keepNext/>
        <w:numPr>
          <w:ilvl w:val="0"/>
          <w:numId w:val="5"/>
        </w:numPr>
        <w:spacing w:line="276" w:lineRule="auto"/>
        <w:rPr>
          <w:rFonts w:cs="Arial"/>
          <w:sz w:val="24"/>
          <w:szCs w:val="24"/>
        </w:rPr>
      </w:pPr>
      <w:r w:rsidRPr="00F43225">
        <w:rPr>
          <w:rFonts w:cs="Arial"/>
          <w:sz w:val="24"/>
          <w:szCs w:val="24"/>
        </w:rPr>
        <w:t>Auckland Renal Transplant Group</w:t>
      </w:r>
      <w:r w:rsidR="00D02BF3" w:rsidRPr="00F43225">
        <w:rPr>
          <w:rFonts w:cs="Arial"/>
          <w:sz w:val="24"/>
          <w:szCs w:val="24"/>
        </w:rPr>
        <w:t xml:space="preserve">, </w:t>
      </w:r>
      <w:r w:rsidR="00973780" w:rsidRPr="00F43225">
        <w:rPr>
          <w:rFonts w:cs="Arial"/>
          <w:sz w:val="24"/>
          <w:szCs w:val="24"/>
        </w:rPr>
        <w:t>Auckland City Hospital</w:t>
      </w:r>
    </w:p>
    <w:p w:rsidR="00973780" w:rsidRPr="00F43225" w:rsidRDefault="00C5068F" w:rsidP="00114E07">
      <w:pPr>
        <w:pStyle w:val="Number"/>
        <w:keepNext/>
        <w:numPr>
          <w:ilvl w:val="0"/>
          <w:numId w:val="5"/>
        </w:numPr>
        <w:spacing w:line="276" w:lineRule="auto"/>
        <w:rPr>
          <w:rFonts w:cs="Arial"/>
          <w:sz w:val="24"/>
          <w:szCs w:val="24"/>
        </w:rPr>
      </w:pPr>
      <w:r w:rsidRPr="00F43225">
        <w:rPr>
          <w:rFonts w:cs="Arial"/>
          <w:sz w:val="24"/>
          <w:szCs w:val="24"/>
        </w:rPr>
        <w:t xml:space="preserve">New Zealand </w:t>
      </w:r>
      <w:r w:rsidR="00973780" w:rsidRPr="00F43225">
        <w:rPr>
          <w:rFonts w:cs="Arial"/>
          <w:sz w:val="24"/>
          <w:szCs w:val="24"/>
        </w:rPr>
        <w:t>Heart and Lung Transplant Service</w:t>
      </w:r>
    </w:p>
    <w:p w:rsidR="00D02BF3" w:rsidRPr="00F43225" w:rsidRDefault="00D02BF3" w:rsidP="00114E07">
      <w:pPr>
        <w:pStyle w:val="Number"/>
        <w:keepNext/>
        <w:numPr>
          <w:ilvl w:val="0"/>
          <w:numId w:val="5"/>
        </w:numPr>
        <w:spacing w:line="276" w:lineRule="auto"/>
        <w:rPr>
          <w:rFonts w:cs="Arial"/>
          <w:sz w:val="24"/>
          <w:szCs w:val="24"/>
        </w:rPr>
      </w:pPr>
      <w:r w:rsidRPr="00F43225">
        <w:rPr>
          <w:rFonts w:cs="Arial"/>
          <w:sz w:val="24"/>
          <w:szCs w:val="24"/>
        </w:rPr>
        <w:t>New Zealand Liver Transplant Unit</w:t>
      </w:r>
    </w:p>
    <w:p w:rsidR="00973780" w:rsidRPr="00F43225" w:rsidRDefault="00D02BF3" w:rsidP="00114E07">
      <w:pPr>
        <w:pStyle w:val="Number"/>
        <w:keepNext/>
        <w:numPr>
          <w:ilvl w:val="0"/>
          <w:numId w:val="5"/>
        </w:numPr>
        <w:spacing w:line="276" w:lineRule="auto"/>
        <w:rPr>
          <w:rFonts w:cs="Arial"/>
          <w:sz w:val="24"/>
          <w:szCs w:val="24"/>
        </w:rPr>
      </w:pPr>
      <w:r w:rsidRPr="00F43225">
        <w:rPr>
          <w:rFonts w:cs="Arial"/>
          <w:sz w:val="24"/>
          <w:szCs w:val="24"/>
        </w:rPr>
        <w:t xml:space="preserve">Sector Capability and Implementation, </w:t>
      </w:r>
      <w:r w:rsidR="00973780" w:rsidRPr="00F43225">
        <w:rPr>
          <w:rFonts w:cs="Arial"/>
          <w:sz w:val="24"/>
          <w:szCs w:val="24"/>
        </w:rPr>
        <w:t>Ministry of Health</w:t>
      </w:r>
    </w:p>
    <w:p w:rsidR="00973780" w:rsidRPr="00F43225" w:rsidRDefault="00973780" w:rsidP="00114E07">
      <w:pPr>
        <w:pStyle w:val="Number"/>
        <w:keepNext/>
        <w:numPr>
          <w:ilvl w:val="0"/>
          <w:numId w:val="5"/>
        </w:numPr>
        <w:spacing w:line="276" w:lineRule="auto"/>
        <w:rPr>
          <w:rFonts w:cs="Arial"/>
          <w:sz w:val="24"/>
          <w:szCs w:val="24"/>
        </w:rPr>
      </w:pPr>
      <w:r w:rsidRPr="00F43225">
        <w:rPr>
          <w:rFonts w:cs="Arial"/>
          <w:sz w:val="24"/>
          <w:szCs w:val="24"/>
        </w:rPr>
        <w:t xml:space="preserve">National Renal Advisory Board </w:t>
      </w:r>
    </w:p>
    <w:p w:rsidR="00973780" w:rsidRPr="00A5006E" w:rsidRDefault="00973780" w:rsidP="00114E07">
      <w:pPr>
        <w:tabs>
          <w:tab w:val="num" w:pos="570"/>
        </w:tabs>
        <w:spacing w:before="240" w:after="240"/>
        <w:rPr>
          <w:rFonts w:cs="Arial"/>
          <w:b/>
          <w:szCs w:val="24"/>
        </w:rPr>
      </w:pPr>
    </w:p>
    <w:sectPr w:rsidR="00973780" w:rsidRPr="00A5006E" w:rsidSect="00A04E1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C5B" w:rsidRDefault="00435C5B" w:rsidP="000A1A8C">
      <w:pPr>
        <w:spacing w:after="0" w:line="240" w:lineRule="auto"/>
      </w:pPr>
      <w:r>
        <w:separator/>
      </w:r>
    </w:p>
  </w:endnote>
  <w:endnote w:type="continuationSeparator" w:id="0">
    <w:p w:rsidR="00435C5B" w:rsidRDefault="00435C5B" w:rsidP="000A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650033"/>
      <w:docPartObj>
        <w:docPartGallery w:val="Page Numbers (Bottom of Page)"/>
        <w:docPartUnique/>
      </w:docPartObj>
    </w:sdtPr>
    <w:sdtEndPr>
      <w:rPr>
        <w:noProof/>
      </w:rPr>
    </w:sdtEndPr>
    <w:sdtContent>
      <w:p w:rsidR="00B75722" w:rsidRDefault="00A04E11">
        <w:pPr>
          <w:pStyle w:val="Footer"/>
          <w:jc w:val="right"/>
        </w:pPr>
        <w:r>
          <w:fldChar w:fldCharType="begin"/>
        </w:r>
        <w:r w:rsidR="00B75722">
          <w:instrText xml:space="preserve"> PAGE   \* MERGEFORMAT </w:instrText>
        </w:r>
        <w:r>
          <w:fldChar w:fldCharType="separate"/>
        </w:r>
        <w:r w:rsidR="00FE79BC">
          <w:rPr>
            <w:noProof/>
          </w:rPr>
          <w:t>1</w:t>
        </w:r>
        <w:r>
          <w:rPr>
            <w:noProof/>
          </w:rPr>
          <w:fldChar w:fldCharType="end"/>
        </w:r>
      </w:p>
    </w:sdtContent>
  </w:sdt>
  <w:p w:rsidR="00B75722" w:rsidRDefault="00B75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C5B" w:rsidRDefault="00435C5B" w:rsidP="000A1A8C">
      <w:pPr>
        <w:spacing w:after="0" w:line="240" w:lineRule="auto"/>
      </w:pPr>
      <w:r>
        <w:separator/>
      </w:r>
    </w:p>
  </w:footnote>
  <w:footnote w:type="continuationSeparator" w:id="0">
    <w:p w:rsidR="00435C5B" w:rsidRDefault="00435C5B" w:rsidP="000A1A8C">
      <w:pPr>
        <w:spacing w:after="0" w:line="240" w:lineRule="auto"/>
      </w:pPr>
      <w:r>
        <w:continuationSeparator/>
      </w:r>
    </w:p>
  </w:footnote>
  <w:footnote w:id="1">
    <w:p w:rsidR="00304BEA" w:rsidRPr="00114E07" w:rsidRDefault="00304BEA" w:rsidP="00304BEA">
      <w:pPr>
        <w:pStyle w:val="FootnoteText"/>
        <w:spacing w:after="60"/>
        <w:rPr>
          <w:rFonts w:ascii="Arial" w:hAnsi="Arial" w:cs="Arial"/>
          <w:sz w:val="18"/>
          <w:szCs w:val="18"/>
        </w:rPr>
      </w:pPr>
      <w:r w:rsidRPr="00114E07">
        <w:rPr>
          <w:rStyle w:val="FootnoteReference"/>
          <w:rFonts w:ascii="Arial" w:hAnsi="Arial" w:cs="Arial"/>
          <w:sz w:val="18"/>
          <w:szCs w:val="18"/>
        </w:rPr>
        <w:footnoteRef/>
      </w:r>
      <w:r w:rsidRPr="00114E07">
        <w:rPr>
          <w:rFonts w:ascii="Arial" w:hAnsi="Arial" w:cs="Arial"/>
          <w:sz w:val="18"/>
          <w:szCs w:val="18"/>
        </w:rPr>
        <w:t xml:space="preserve"> New Zealand’s Paired Kidney Exchange Scheme allows living donor/recipient pairs, where there is a H</w:t>
      </w:r>
      <w:r>
        <w:rPr>
          <w:rFonts w:ascii="Arial" w:hAnsi="Arial" w:cs="Arial"/>
          <w:sz w:val="18"/>
          <w:szCs w:val="18"/>
        </w:rPr>
        <w:t xml:space="preserve">uman </w:t>
      </w:r>
      <w:r w:rsidRPr="00114E07">
        <w:rPr>
          <w:rFonts w:ascii="Arial" w:hAnsi="Arial" w:cs="Arial"/>
          <w:sz w:val="18"/>
          <w:szCs w:val="18"/>
        </w:rPr>
        <w:t>L</w:t>
      </w:r>
      <w:r>
        <w:rPr>
          <w:rFonts w:ascii="Arial" w:hAnsi="Arial" w:cs="Arial"/>
          <w:sz w:val="18"/>
          <w:szCs w:val="18"/>
        </w:rPr>
        <w:t xml:space="preserve">eukocyte </w:t>
      </w:r>
      <w:r w:rsidRPr="00114E07">
        <w:rPr>
          <w:rFonts w:ascii="Arial" w:hAnsi="Arial" w:cs="Arial"/>
          <w:sz w:val="18"/>
          <w:szCs w:val="18"/>
        </w:rPr>
        <w:t>A</w:t>
      </w:r>
      <w:r>
        <w:rPr>
          <w:rFonts w:ascii="Arial" w:hAnsi="Arial" w:cs="Arial"/>
          <w:sz w:val="18"/>
          <w:szCs w:val="18"/>
        </w:rPr>
        <w:t>ntigen</w:t>
      </w:r>
      <w:r w:rsidRPr="00114E07">
        <w:rPr>
          <w:rFonts w:ascii="Arial" w:hAnsi="Arial" w:cs="Arial"/>
          <w:sz w:val="18"/>
          <w:szCs w:val="18"/>
        </w:rPr>
        <w:t xml:space="preserve"> and blood-grouping mismatch, the opportunity to exchange a kidney with others in a similar position.  </w:t>
      </w:r>
    </w:p>
  </w:footnote>
  <w:footnote w:id="2">
    <w:p w:rsidR="004629E1" w:rsidRPr="00114E07" w:rsidRDefault="004629E1" w:rsidP="00315A19">
      <w:pPr>
        <w:pStyle w:val="FootnoteText"/>
        <w:spacing w:after="60"/>
        <w:rPr>
          <w:rFonts w:ascii="Arial" w:hAnsi="Arial" w:cs="Arial"/>
          <w:sz w:val="18"/>
          <w:szCs w:val="18"/>
        </w:rPr>
      </w:pPr>
      <w:r w:rsidRPr="00114E07">
        <w:rPr>
          <w:rStyle w:val="FootnoteReference"/>
          <w:rFonts w:ascii="Arial" w:hAnsi="Arial" w:cs="Arial"/>
          <w:sz w:val="18"/>
          <w:szCs w:val="18"/>
        </w:rPr>
        <w:footnoteRef/>
      </w:r>
      <w:r w:rsidRPr="00114E07">
        <w:rPr>
          <w:rFonts w:ascii="Arial" w:hAnsi="Arial" w:cs="Arial"/>
          <w:sz w:val="18"/>
          <w:szCs w:val="18"/>
        </w:rPr>
        <w:t xml:space="preserve"> </w:t>
      </w:r>
      <w:r w:rsidR="00315A19" w:rsidRPr="00114E07">
        <w:rPr>
          <w:rFonts w:ascii="Arial" w:hAnsi="Arial" w:cs="Arial"/>
          <w:sz w:val="18"/>
          <w:szCs w:val="18"/>
        </w:rPr>
        <w:t xml:space="preserve">Organs from </w:t>
      </w:r>
      <w:r w:rsidR="000B753A" w:rsidRPr="00114E07">
        <w:rPr>
          <w:rFonts w:ascii="Arial" w:hAnsi="Arial" w:cs="Arial"/>
          <w:sz w:val="18"/>
          <w:szCs w:val="18"/>
        </w:rPr>
        <w:t>non-direct</w:t>
      </w:r>
      <w:r w:rsidR="00024F30">
        <w:rPr>
          <w:rFonts w:ascii="Arial" w:hAnsi="Arial" w:cs="Arial"/>
          <w:sz w:val="18"/>
          <w:szCs w:val="18"/>
        </w:rPr>
        <w:t>ed</w:t>
      </w:r>
      <w:r w:rsidR="000B753A" w:rsidRPr="00114E07">
        <w:rPr>
          <w:rFonts w:ascii="Arial" w:hAnsi="Arial" w:cs="Arial"/>
          <w:sz w:val="18"/>
          <w:szCs w:val="18"/>
        </w:rPr>
        <w:t xml:space="preserve"> </w:t>
      </w:r>
      <w:r w:rsidRPr="00114E07">
        <w:rPr>
          <w:rFonts w:ascii="Arial" w:hAnsi="Arial" w:cs="Arial"/>
          <w:sz w:val="18"/>
          <w:szCs w:val="18"/>
        </w:rPr>
        <w:t>living donors</w:t>
      </w:r>
      <w:r w:rsidR="00024F30">
        <w:rPr>
          <w:rFonts w:ascii="Arial" w:hAnsi="Arial" w:cs="Arial"/>
          <w:sz w:val="18"/>
          <w:szCs w:val="18"/>
        </w:rPr>
        <w:t xml:space="preserve"> (donors who do not donate to a specific person)</w:t>
      </w:r>
      <w:r w:rsidR="00315A19" w:rsidRPr="00114E07">
        <w:rPr>
          <w:rFonts w:ascii="Arial" w:hAnsi="Arial" w:cs="Arial"/>
          <w:sz w:val="18"/>
          <w:szCs w:val="18"/>
        </w:rPr>
        <w:t xml:space="preserve"> are also allocated to patients on the deceased donor list.</w:t>
      </w:r>
    </w:p>
  </w:footnote>
  <w:footnote w:id="3">
    <w:p w:rsidR="00786DCF" w:rsidRPr="00686580" w:rsidRDefault="00786DCF" w:rsidP="00315A19">
      <w:pPr>
        <w:tabs>
          <w:tab w:val="num" w:pos="1163"/>
        </w:tabs>
        <w:spacing w:after="60" w:line="240" w:lineRule="auto"/>
        <w:jc w:val="both"/>
        <w:rPr>
          <w:rFonts w:cs="Arial"/>
          <w:sz w:val="18"/>
          <w:szCs w:val="18"/>
        </w:rPr>
      </w:pPr>
      <w:r w:rsidRPr="0052620C">
        <w:rPr>
          <w:rStyle w:val="FootnoteReference"/>
          <w:rFonts w:cs="Arial"/>
          <w:sz w:val="18"/>
          <w:szCs w:val="18"/>
        </w:rPr>
        <w:footnoteRef/>
      </w:r>
      <w:r w:rsidRPr="0052620C">
        <w:rPr>
          <w:rFonts w:cs="Arial"/>
          <w:sz w:val="18"/>
          <w:szCs w:val="18"/>
        </w:rPr>
        <w:t xml:space="preserve"> Auckland perform simultaneous kidney and pancreas transplants where the recipient has a condition that results in a </w:t>
      </w:r>
      <w:r w:rsidR="004629E1" w:rsidRPr="0052620C">
        <w:rPr>
          <w:rFonts w:cs="Arial"/>
          <w:sz w:val="18"/>
          <w:szCs w:val="18"/>
        </w:rPr>
        <w:t>non</w:t>
      </w:r>
      <w:r w:rsidRPr="0052620C">
        <w:rPr>
          <w:rFonts w:cs="Arial"/>
          <w:sz w:val="18"/>
          <w:szCs w:val="18"/>
        </w:rPr>
        <w:t xml:space="preserve">-functioning pancreas eg, </w:t>
      </w:r>
      <w:r w:rsidR="004629E1" w:rsidRPr="0052620C">
        <w:rPr>
          <w:rFonts w:cs="Arial"/>
          <w:sz w:val="18"/>
          <w:szCs w:val="18"/>
        </w:rPr>
        <w:t xml:space="preserve">type 1 </w:t>
      </w:r>
      <w:r w:rsidRPr="0052620C">
        <w:rPr>
          <w:rFonts w:cs="Arial"/>
          <w:sz w:val="18"/>
          <w:szCs w:val="18"/>
        </w:rPr>
        <w:t xml:space="preserve">diabetes. Generally, pancreas-only transplants are not performed in New Zealand as the benefits of a new pancreas do not outweigh the side-effects from </w:t>
      </w:r>
      <w:r w:rsidR="00B02F24" w:rsidRPr="00EA7A18">
        <w:rPr>
          <w:rFonts w:cs="Arial"/>
          <w:sz w:val="18"/>
          <w:szCs w:val="18"/>
        </w:rPr>
        <w:t>the required immunosuppressants</w:t>
      </w:r>
      <w:r w:rsidR="00686580" w:rsidRPr="00D708AA">
        <w:rPr>
          <w:rFonts w:cs="Arial"/>
          <w:sz w:val="18"/>
          <w:szCs w:val="18"/>
        </w:rPr>
        <w:t>.</w:t>
      </w:r>
    </w:p>
  </w:footnote>
  <w:footnote w:id="4">
    <w:p w:rsidR="00B02F24" w:rsidRPr="00EA7A18" w:rsidRDefault="00B02F24" w:rsidP="00B02F24">
      <w:pPr>
        <w:pStyle w:val="FootnoteText"/>
        <w:rPr>
          <w:rFonts w:ascii="Arial" w:hAnsi="Arial" w:cs="Arial"/>
          <w:sz w:val="18"/>
          <w:szCs w:val="18"/>
        </w:rPr>
      </w:pPr>
      <w:r w:rsidRPr="00024F30">
        <w:rPr>
          <w:rStyle w:val="FootnoteReference"/>
          <w:rFonts w:ascii="Arial" w:hAnsi="Arial" w:cs="Arial"/>
          <w:sz w:val="18"/>
          <w:szCs w:val="18"/>
        </w:rPr>
        <w:footnoteRef/>
      </w:r>
      <w:r w:rsidRPr="00024F30">
        <w:rPr>
          <w:rFonts w:ascii="Arial" w:hAnsi="Arial" w:cs="Arial"/>
          <w:sz w:val="18"/>
          <w:szCs w:val="18"/>
        </w:rPr>
        <w:t xml:space="preserve"> </w:t>
      </w:r>
      <w:r w:rsidR="00CD0A54" w:rsidRPr="00D90FC6">
        <w:rPr>
          <w:rFonts w:ascii="Arial" w:hAnsi="Arial" w:cs="Arial"/>
          <w:sz w:val="18"/>
          <w:szCs w:val="18"/>
        </w:rPr>
        <w:t xml:space="preserve">McDonald, S.P. (2013). End-stage kidney disease among indigenous peoples of Australia and New Zealand.  </w:t>
      </w:r>
      <w:r w:rsidR="00CD0A54" w:rsidRPr="00114E07">
        <w:rPr>
          <w:rFonts w:ascii="Arial" w:hAnsi="Arial" w:cs="Arial"/>
          <w:i/>
          <w:sz w:val="18"/>
          <w:szCs w:val="18"/>
        </w:rPr>
        <w:t>Kidney International Supplements</w:t>
      </w:r>
      <w:r w:rsidR="00CD0A54" w:rsidRPr="00D90FC6">
        <w:rPr>
          <w:rFonts w:ascii="Arial" w:hAnsi="Arial" w:cs="Arial"/>
          <w:sz w:val="18"/>
          <w:szCs w:val="18"/>
        </w:rPr>
        <w:t>, 3, pp 170-173.</w:t>
      </w:r>
    </w:p>
  </w:footnote>
  <w:footnote w:id="5">
    <w:p w:rsidR="00686580" w:rsidRPr="00FC688B" w:rsidRDefault="00686580">
      <w:pPr>
        <w:pStyle w:val="FootnoteText"/>
        <w:rPr>
          <w:rFonts w:ascii="Arial" w:hAnsi="Arial" w:cs="Arial"/>
          <w:sz w:val="18"/>
          <w:szCs w:val="18"/>
        </w:rPr>
      </w:pPr>
      <w:r w:rsidRPr="00114E07">
        <w:rPr>
          <w:rStyle w:val="FootnoteReference"/>
          <w:rFonts w:ascii="Arial" w:hAnsi="Arial" w:cs="Arial"/>
          <w:sz w:val="18"/>
          <w:szCs w:val="18"/>
        </w:rPr>
        <w:footnoteRef/>
      </w:r>
      <w:r w:rsidRPr="00114E07">
        <w:rPr>
          <w:rFonts w:ascii="Arial" w:hAnsi="Arial" w:cs="Arial"/>
          <w:sz w:val="18"/>
          <w:szCs w:val="18"/>
        </w:rPr>
        <w:t xml:space="preserve"> </w:t>
      </w:r>
      <w:r w:rsidR="00B71904" w:rsidRPr="00024F30">
        <w:rPr>
          <w:rFonts w:ascii="Arial" w:hAnsi="Arial" w:cs="Arial"/>
          <w:sz w:val="18"/>
          <w:szCs w:val="18"/>
        </w:rPr>
        <w:t xml:space="preserve">Yeates, K.E. </w:t>
      </w:r>
      <w:r w:rsidR="00B71904" w:rsidRPr="00024F30">
        <w:rPr>
          <w:rFonts w:ascii="Arial" w:hAnsi="Arial" w:cs="Arial"/>
          <w:i/>
          <w:sz w:val="18"/>
          <w:szCs w:val="18"/>
        </w:rPr>
        <w:t xml:space="preserve">et al. </w:t>
      </w:r>
      <w:r w:rsidR="00B71904" w:rsidRPr="00D90FC6">
        <w:rPr>
          <w:rFonts w:ascii="Arial" w:hAnsi="Arial" w:cs="Arial"/>
          <w:sz w:val="18"/>
          <w:szCs w:val="18"/>
        </w:rPr>
        <w:t>(2009).</w:t>
      </w:r>
      <w:r w:rsidR="00B71904" w:rsidRPr="00D90FC6">
        <w:rPr>
          <w:rFonts w:ascii="Arial" w:hAnsi="Arial" w:cs="Arial"/>
          <w:i/>
          <w:sz w:val="18"/>
          <w:szCs w:val="18"/>
        </w:rPr>
        <w:t xml:space="preserve"> </w:t>
      </w:r>
      <w:r w:rsidR="00B71904" w:rsidRPr="00EA7A18">
        <w:rPr>
          <w:rFonts w:ascii="Arial" w:hAnsi="Arial" w:cs="Arial"/>
          <w:sz w:val="18"/>
          <w:szCs w:val="18"/>
        </w:rPr>
        <w:t xml:space="preserve">Indigenous people in Australia, Canada, New Zealand and the United States are less likely to receive renal transplantation. </w:t>
      </w:r>
      <w:r w:rsidR="00B71904" w:rsidRPr="00114E07">
        <w:rPr>
          <w:rFonts w:ascii="Arial" w:hAnsi="Arial" w:cs="Arial"/>
          <w:i/>
          <w:sz w:val="18"/>
          <w:szCs w:val="18"/>
        </w:rPr>
        <w:t>Kidney International</w:t>
      </w:r>
      <w:r w:rsidR="00B71904" w:rsidRPr="00D708AA">
        <w:rPr>
          <w:rFonts w:ascii="Arial" w:hAnsi="Arial" w:cs="Arial"/>
          <w:sz w:val="18"/>
          <w:szCs w:val="18"/>
        </w:rPr>
        <w:t>, 76, pp 659-664.</w:t>
      </w:r>
    </w:p>
  </w:footnote>
  <w:footnote w:id="6">
    <w:p w:rsidR="001C082D" w:rsidRPr="00EA7A18" w:rsidRDefault="001C082D" w:rsidP="001C082D">
      <w:pPr>
        <w:pStyle w:val="FootnoteText"/>
        <w:rPr>
          <w:rFonts w:ascii="Arial" w:hAnsi="Arial" w:cs="Arial"/>
          <w:sz w:val="18"/>
          <w:szCs w:val="18"/>
        </w:rPr>
      </w:pPr>
      <w:r w:rsidRPr="00D90FC6">
        <w:rPr>
          <w:rStyle w:val="FootnoteReference"/>
          <w:rFonts w:ascii="Arial" w:hAnsi="Arial" w:cs="Arial"/>
          <w:sz w:val="18"/>
          <w:szCs w:val="18"/>
        </w:rPr>
        <w:footnoteRef/>
      </w:r>
      <w:r w:rsidR="00AC1617" w:rsidRPr="00EA7A18">
        <w:rPr>
          <w:rFonts w:ascii="Arial" w:hAnsi="Arial" w:cs="Arial"/>
          <w:sz w:val="18"/>
          <w:szCs w:val="18"/>
        </w:rPr>
        <w:t xml:space="preserve"> </w:t>
      </w:r>
      <w:r w:rsidR="00AC1617" w:rsidRPr="00EA7A18">
        <w:rPr>
          <w:rFonts w:ascii="Arial" w:hAnsi="Arial" w:cs="Arial"/>
          <w:i/>
          <w:sz w:val="18"/>
          <w:szCs w:val="18"/>
        </w:rPr>
        <w:t>I</w:t>
      </w:r>
      <w:r w:rsidR="00CD0A54" w:rsidRPr="00EA7A18">
        <w:rPr>
          <w:rFonts w:ascii="Arial" w:hAnsi="Arial" w:cs="Arial"/>
          <w:i/>
          <w:sz w:val="18"/>
          <w:szCs w:val="18"/>
        </w:rPr>
        <w:t>bid</w:t>
      </w:r>
      <w:r w:rsidRPr="00EA7A18">
        <w:rPr>
          <w:rFonts w:ascii="Arial" w:hAnsi="Arial" w:cs="Arial"/>
          <w:i/>
          <w:sz w:val="18"/>
          <w:szCs w:val="18"/>
        </w:rPr>
        <w:t>.</w:t>
      </w:r>
    </w:p>
  </w:footnote>
  <w:footnote w:id="7">
    <w:p w:rsidR="00ED42D6" w:rsidRDefault="00ED42D6">
      <w:pPr>
        <w:pStyle w:val="FootnoteText"/>
      </w:pPr>
      <w:r w:rsidRPr="00114E07">
        <w:rPr>
          <w:rStyle w:val="FootnoteReference"/>
          <w:rFonts w:ascii="Arial" w:hAnsi="Arial" w:cs="Arial"/>
          <w:sz w:val="18"/>
          <w:szCs w:val="18"/>
        </w:rPr>
        <w:footnoteRef/>
      </w:r>
      <w:r w:rsidRPr="00114E07">
        <w:rPr>
          <w:rFonts w:ascii="Arial" w:hAnsi="Arial" w:cs="Arial"/>
          <w:sz w:val="18"/>
          <w:szCs w:val="18"/>
        </w:rPr>
        <w:t xml:space="preserve"> Live Kidney Donation Aotearoa</w:t>
      </w:r>
      <w:r w:rsidR="00854A21" w:rsidRPr="00114E07">
        <w:rPr>
          <w:rFonts w:ascii="Arial" w:hAnsi="Arial" w:cs="Arial"/>
          <w:sz w:val="18"/>
          <w:szCs w:val="18"/>
        </w:rPr>
        <w:t xml:space="preserve"> </w:t>
      </w:r>
      <w:r w:rsidRPr="00114E07">
        <w:rPr>
          <w:rFonts w:ascii="Arial" w:hAnsi="Arial" w:cs="Arial"/>
          <w:sz w:val="18"/>
          <w:szCs w:val="18"/>
        </w:rPr>
        <w:t>is a programme that is coordinated by kidney health practitioners and scientists with strong links to community and other stakeholders in the field of kidney disease. The programme works directly with patients and their whānau, the Ministry of Health, community groups, health practitioners (including GPs) and Counties Manukau Health.</w:t>
      </w:r>
    </w:p>
  </w:footnote>
  <w:footnote w:id="8">
    <w:p w:rsidR="00EA7A18" w:rsidRPr="00114E07" w:rsidRDefault="00EA7A18">
      <w:pPr>
        <w:pStyle w:val="FootnoteText"/>
        <w:rPr>
          <w:rFonts w:ascii="Arial" w:hAnsi="Arial" w:cs="Arial"/>
          <w:sz w:val="18"/>
          <w:szCs w:val="18"/>
        </w:rPr>
      </w:pPr>
      <w:r w:rsidRPr="00114E07">
        <w:rPr>
          <w:rStyle w:val="FootnoteReference"/>
          <w:rFonts w:ascii="Arial" w:hAnsi="Arial" w:cs="Arial"/>
          <w:sz w:val="18"/>
          <w:szCs w:val="18"/>
        </w:rPr>
        <w:footnoteRef/>
      </w:r>
      <w:r w:rsidRPr="00114E07">
        <w:rPr>
          <w:rFonts w:ascii="Arial" w:hAnsi="Arial" w:cs="Arial"/>
          <w:sz w:val="18"/>
          <w:szCs w:val="18"/>
        </w:rPr>
        <w:t xml:space="preserve"> </w:t>
      </w:r>
      <w:r w:rsidR="00114E07">
        <w:rPr>
          <w:rFonts w:ascii="Arial" w:hAnsi="Arial" w:cs="Arial"/>
          <w:sz w:val="18"/>
          <w:szCs w:val="18"/>
        </w:rPr>
        <w:t>T</w:t>
      </w:r>
      <w:r w:rsidR="00C174E0">
        <w:rPr>
          <w:rFonts w:ascii="Arial" w:hAnsi="Arial" w:cs="Arial"/>
          <w:sz w:val="18"/>
          <w:szCs w:val="18"/>
        </w:rPr>
        <w:t xml:space="preserve">hese aspects are set out in guidelines. Heart, liver, kidney and pancreas transplantations mainly follow </w:t>
      </w:r>
      <w:r w:rsidRPr="00114E07">
        <w:rPr>
          <w:rFonts w:ascii="Arial" w:hAnsi="Arial" w:cs="Arial"/>
          <w:sz w:val="18"/>
          <w:szCs w:val="18"/>
        </w:rPr>
        <w:t>the Transplantation Society of Australia and New Zealand (TSANZ) consensus statement on eligibility criteria and allocation protocols for organ transplantation from deceased donors. However, the New Zealand Lung Transplant Service uses the International Society for Heart and Lung Transplantation (ISHLT) guidelines.</w:t>
      </w:r>
    </w:p>
  </w:footnote>
  <w:footnote w:id="9">
    <w:p w:rsidR="002375E3" w:rsidRPr="00114E07" w:rsidRDefault="002375E3">
      <w:pPr>
        <w:pStyle w:val="FootnoteText"/>
        <w:rPr>
          <w:rFonts w:ascii="Arial" w:hAnsi="Arial" w:cs="Arial"/>
          <w:sz w:val="18"/>
          <w:szCs w:val="18"/>
        </w:rPr>
      </w:pPr>
      <w:r w:rsidRPr="00114E07">
        <w:rPr>
          <w:rStyle w:val="FootnoteReference"/>
          <w:rFonts w:ascii="Arial" w:hAnsi="Arial" w:cs="Arial"/>
          <w:sz w:val="18"/>
          <w:szCs w:val="18"/>
        </w:rPr>
        <w:footnoteRef/>
      </w:r>
      <w:r w:rsidRPr="00114E07">
        <w:rPr>
          <w:rFonts w:ascii="Arial" w:hAnsi="Arial" w:cs="Arial"/>
          <w:sz w:val="18"/>
          <w:szCs w:val="18"/>
        </w:rPr>
        <w:t xml:space="preserve"> John McCall, comments on NEAC’s draft report, 13 October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0816"/>
    <w:multiLevelType w:val="hybridMultilevel"/>
    <w:tmpl w:val="C55E26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D114417"/>
    <w:multiLevelType w:val="hybridMultilevel"/>
    <w:tmpl w:val="933000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7633D2B"/>
    <w:multiLevelType w:val="multilevel"/>
    <w:tmpl w:val="616E348C"/>
    <w:lvl w:ilvl="0">
      <w:start w:val="1"/>
      <w:numFmt w:val="decimal"/>
      <w:lvlText w:val="%1."/>
      <w:lvlJc w:val="left"/>
      <w:pPr>
        <w:tabs>
          <w:tab w:val="num" w:pos="1163"/>
        </w:tabs>
        <w:ind w:left="783" w:hanging="357"/>
      </w:pPr>
      <w:rPr>
        <w:rFonts w:ascii="Arial" w:hAnsi="Arial" w:cs="Arial" w:hint="default"/>
        <w:b w:val="0"/>
        <w:i w:val="0"/>
        <w:sz w:val="24"/>
        <w:szCs w:val="24"/>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b w:val="0"/>
        <w:i w:val="0"/>
      </w:rPr>
    </w:lvl>
    <w:lvl w:ilvl="3">
      <w:start w:val="1"/>
      <w:numFmt w:val="lowerRoman"/>
      <w:lvlText w:val="%4."/>
      <w:lvlJc w:val="right"/>
      <w:pPr>
        <w:tabs>
          <w:tab w:val="num" w:pos="216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28EE794A"/>
    <w:multiLevelType w:val="multilevel"/>
    <w:tmpl w:val="CAC229D0"/>
    <w:lvl w:ilvl="0">
      <w:start w:val="1"/>
      <w:numFmt w:val="decimal"/>
      <w:lvlText w:val="%1."/>
      <w:lvlJc w:val="left"/>
      <w:pPr>
        <w:tabs>
          <w:tab w:val="num" w:pos="1163"/>
        </w:tabs>
        <w:ind w:left="783" w:hanging="357"/>
      </w:pPr>
      <w:rPr>
        <w:rFonts w:ascii="Arial" w:hAnsi="Arial" w:cs="Arial" w:hint="default"/>
        <w:b w:val="0"/>
        <w:i w:val="0"/>
        <w:sz w:val="24"/>
        <w:szCs w:val="24"/>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440"/>
        </w:tabs>
        <w:ind w:left="1224" w:hanging="504"/>
      </w:pPr>
      <w:rPr>
        <w:rFonts w:ascii="Symbol" w:hAnsi="Symbol" w:hint="default"/>
        <w:b w:val="0"/>
        <w:i w:val="0"/>
      </w:rPr>
    </w:lvl>
    <w:lvl w:ilvl="3">
      <w:start w:val="1"/>
      <w:numFmt w:val="lowerRoman"/>
      <w:lvlText w:val="%4."/>
      <w:lvlJc w:val="right"/>
      <w:pPr>
        <w:tabs>
          <w:tab w:val="num" w:pos="216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33005499"/>
    <w:multiLevelType w:val="hybridMultilevel"/>
    <w:tmpl w:val="8A601F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4704CC8"/>
    <w:multiLevelType w:val="hybridMultilevel"/>
    <w:tmpl w:val="C61CCFEA"/>
    <w:lvl w:ilvl="0" w:tplc="14090001">
      <w:start w:val="1"/>
      <w:numFmt w:val="bullet"/>
      <w:pStyle w:val="List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9098D"/>
    <w:rsid w:val="00003A37"/>
    <w:rsid w:val="00024F30"/>
    <w:rsid w:val="00027D8B"/>
    <w:rsid w:val="00030D1A"/>
    <w:rsid w:val="0003158D"/>
    <w:rsid w:val="00065C29"/>
    <w:rsid w:val="0007015C"/>
    <w:rsid w:val="00074E80"/>
    <w:rsid w:val="00083064"/>
    <w:rsid w:val="00091175"/>
    <w:rsid w:val="000A1A8C"/>
    <w:rsid w:val="000B753A"/>
    <w:rsid w:val="000D2D2E"/>
    <w:rsid w:val="000D4F10"/>
    <w:rsid w:val="000D62E7"/>
    <w:rsid w:val="000D7B06"/>
    <w:rsid w:val="000E518A"/>
    <w:rsid w:val="000F6C25"/>
    <w:rsid w:val="00113501"/>
    <w:rsid w:val="00114E07"/>
    <w:rsid w:val="00123F97"/>
    <w:rsid w:val="0013064C"/>
    <w:rsid w:val="00143188"/>
    <w:rsid w:val="00143AC5"/>
    <w:rsid w:val="0014465C"/>
    <w:rsid w:val="0016681E"/>
    <w:rsid w:val="00166AA9"/>
    <w:rsid w:val="00167D67"/>
    <w:rsid w:val="00197317"/>
    <w:rsid w:val="001B3B5F"/>
    <w:rsid w:val="001C082D"/>
    <w:rsid w:val="001D156D"/>
    <w:rsid w:val="001D23AD"/>
    <w:rsid w:val="001E3FFE"/>
    <w:rsid w:val="002375E3"/>
    <w:rsid w:val="0024409D"/>
    <w:rsid w:val="00247BFF"/>
    <w:rsid w:val="00250850"/>
    <w:rsid w:val="00252364"/>
    <w:rsid w:val="00260980"/>
    <w:rsid w:val="00292459"/>
    <w:rsid w:val="00293A9E"/>
    <w:rsid w:val="002A26DE"/>
    <w:rsid w:val="002A4C72"/>
    <w:rsid w:val="002A7592"/>
    <w:rsid w:val="002C08CF"/>
    <w:rsid w:val="002C4216"/>
    <w:rsid w:val="002D6AFB"/>
    <w:rsid w:val="002E724B"/>
    <w:rsid w:val="00304BEA"/>
    <w:rsid w:val="00306E3C"/>
    <w:rsid w:val="00306E3F"/>
    <w:rsid w:val="0030793A"/>
    <w:rsid w:val="00314091"/>
    <w:rsid w:val="00314858"/>
    <w:rsid w:val="00315A19"/>
    <w:rsid w:val="003205D3"/>
    <w:rsid w:val="0032129F"/>
    <w:rsid w:val="00336B10"/>
    <w:rsid w:val="00341265"/>
    <w:rsid w:val="00354960"/>
    <w:rsid w:val="003554A8"/>
    <w:rsid w:val="003661E8"/>
    <w:rsid w:val="003774DE"/>
    <w:rsid w:val="00380E7A"/>
    <w:rsid w:val="003852D2"/>
    <w:rsid w:val="003A6018"/>
    <w:rsid w:val="003C4B53"/>
    <w:rsid w:val="003E06D6"/>
    <w:rsid w:val="003E0ADF"/>
    <w:rsid w:val="003E4569"/>
    <w:rsid w:val="003E674B"/>
    <w:rsid w:val="003E7A4F"/>
    <w:rsid w:val="003F6282"/>
    <w:rsid w:val="00400D9D"/>
    <w:rsid w:val="00404786"/>
    <w:rsid w:val="00410680"/>
    <w:rsid w:val="00412FCE"/>
    <w:rsid w:val="0041391C"/>
    <w:rsid w:val="0041640B"/>
    <w:rsid w:val="00422D82"/>
    <w:rsid w:val="00435C5B"/>
    <w:rsid w:val="00437120"/>
    <w:rsid w:val="0045183A"/>
    <w:rsid w:val="00460FDC"/>
    <w:rsid w:val="004629E1"/>
    <w:rsid w:val="00463C01"/>
    <w:rsid w:val="0046668B"/>
    <w:rsid w:val="00470DFC"/>
    <w:rsid w:val="00473813"/>
    <w:rsid w:val="0048199A"/>
    <w:rsid w:val="004830A3"/>
    <w:rsid w:val="00486968"/>
    <w:rsid w:val="004874EE"/>
    <w:rsid w:val="004B44A2"/>
    <w:rsid w:val="004E0C9D"/>
    <w:rsid w:val="005067CF"/>
    <w:rsid w:val="00511E7C"/>
    <w:rsid w:val="00513837"/>
    <w:rsid w:val="0052620C"/>
    <w:rsid w:val="0053028E"/>
    <w:rsid w:val="00535DD0"/>
    <w:rsid w:val="005379F1"/>
    <w:rsid w:val="005513AC"/>
    <w:rsid w:val="00561F50"/>
    <w:rsid w:val="005653C5"/>
    <w:rsid w:val="00572DAC"/>
    <w:rsid w:val="00574FF2"/>
    <w:rsid w:val="005A4B18"/>
    <w:rsid w:val="005D3DEC"/>
    <w:rsid w:val="006055B5"/>
    <w:rsid w:val="00611134"/>
    <w:rsid w:val="00615118"/>
    <w:rsid w:val="00615BFE"/>
    <w:rsid w:val="00634B91"/>
    <w:rsid w:val="006363B5"/>
    <w:rsid w:val="006401AB"/>
    <w:rsid w:val="00647632"/>
    <w:rsid w:val="006501C5"/>
    <w:rsid w:val="00675803"/>
    <w:rsid w:val="006815F7"/>
    <w:rsid w:val="00683857"/>
    <w:rsid w:val="00686580"/>
    <w:rsid w:val="006A21EF"/>
    <w:rsid w:val="006A3202"/>
    <w:rsid w:val="006C18D4"/>
    <w:rsid w:val="006C6A5A"/>
    <w:rsid w:val="006C6F49"/>
    <w:rsid w:val="006D39BC"/>
    <w:rsid w:val="006D6266"/>
    <w:rsid w:val="006E201E"/>
    <w:rsid w:val="006E7884"/>
    <w:rsid w:val="006F141B"/>
    <w:rsid w:val="006F4229"/>
    <w:rsid w:val="0070537D"/>
    <w:rsid w:val="00706DFA"/>
    <w:rsid w:val="00710BD2"/>
    <w:rsid w:val="00714EFF"/>
    <w:rsid w:val="00731848"/>
    <w:rsid w:val="00741741"/>
    <w:rsid w:val="00745A87"/>
    <w:rsid w:val="00763E92"/>
    <w:rsid w:val="007645FE"/>
    <w:rsid w:val="00764B57"/>
    <w:rsid w:val="007760EE"/>
    <w:rsid w:val="00786DCF"/>
    <w:rsid w:val="007A5462"/>
    <w:rsid w:val="007A6708"/>
    <w:rsid w:val="007C427F"/>
    <w:rsid w:val="007E1C60"/>
    <w:rsid w:val="007E7084"/>
    <w:rsid w:val="007F6406"/>
    <w:rsid w:val="00805B66"/>
    <w:rsid w:val="00805D81"/>
    <w:rsid w:val="00811201"/>
    <w:rsid w:val="00812D7F"/>
    <w:rsid w:val="00823937"/>
    <w:rsid w:val="00825F51"/>
    <w:rsid w:val="00830020"/>
    <w:rsid w:val="00835D02"/>
    <w:rsid w:val="00841932"/>
    <w:rsid w:val="00851585"/>
    <w:rsid w:val="00854A21"/>
    <w:rsid w:val="008563B0"/>
    <w:rsid w:val="00864A47"/>
    <w:rsid w:val="00876DE3"/>
    <w:rsid w:val="008821CE"/>
    <w:rsid w:val="00886793"/>
    <w:rsid w:val="00886F8E"/>
    <w:rsid w:val="008908C3"/>
    <w:rsid w:val="008A6DAD"/>
    <w:rsid w:val="008A6F4E"/>
    <w:rsid w:val="008A713F"/>
    <w:rsid w:val="008C51FE"/>
    <w:rsid w:val="008C67D6"/>
    <w:rsid w:val="008F7B5B"/>
    <w:rsid w:val="009138C8"/>
    <w:rsid w:val="00916903"/>
    <w:rsid w:val="009241C3"/>
    <w:rsid w:val="009278E4"/>
    <w:rsid w:val="00950517"/>
    <w:rsid w:val="00965661"/>
    <w:rsid w:val="00973780"/>
    <w:rsid w:val="009866FE"/>
    <w:rsid w:val="0099098D"/>
    <w:rsid w:val="0099656E"/>
    <w:rsid w:val="009A39CD"/>
    <w:rsid w:val="009B2C96"/>
    <w:rsid w:val="009B487B"/>
    <w:rsid w:val="009E392A"/>
    <w:rsid w:val="009E5C02"/>
    <w:rsid w:val="00A04E11"/>
    <w:rsid w:val="00A11ED5"/>
    <w:rsid w:val="00A1404E"/>
    <w:rsid w:val="00A2669C"/>
    <w:rsid w:val="00A3018F"/>
    <w:rsid w:val="00A46497"/>
    <w:rsid w:val="00A47132"/>
    <w:rsid w:val="00A5006E"/>
    <w:rsid w:val="00A5365A"/>
    <w:rsid w:val="00A64473"/>
    <w:rsid w:val="00A64879"/>
    <w:rsid w:val="00A64F5D"/>
    <w:rsid w:val="00A70496"/>
    <w:rsid w:val="00AA16DF"/>
    <w:rsid w:val="00AA7E28"/>
    <w:rsid w:val="00AB266D"/>
    <w:rsid w:val="00AB3098"/>
    <w:rsid w:val="00AB58BB"/>
    <w:rsid w:val="00AC1617"/>
    <w:rsid w:val="00AC6869"/>
    <w:rsid w:val="00AD58A8"/>
    <w:rsid w:val="00AD5DED"/>
    <w:rsid w:val="00AF3065"/>
    <w:rsid w:val="00B02F24"/>
    <w:rsid w:val="00B03EF9"/>
    <w:rsid w:val="00B11D57"/>
    <w:rsid w:val="00B32765"/>
    <w:rsid w:val="00B3664F"/>
    <w:rsid w:val="00B416DA"/>
    <w:rsid w:val="00B50F56"/>
    <w:rsid w:val="00B519F2"/>
    <w:rsid w:val="00B5396C"/>
    <w:rsid w:val="00B602D7"/>
    <w:rsid w:val="00B65449"/>
    <w:rsid w:val="00B71904"/>
    <w:rsid w:val="00B746B0"/>
    <w:rsid w:val="00B75722"/>
    <w:rsid w:val="00B86D1C"/>
    <w:rsid w:val="00B9651E"/>
    <w:rsid w:val="00BC0B78"/>
    <w:rsid w:val="00BC44FF"/>
    <w:rsid w:val="00BE3C1D"/>
    <w:rsid w:val="00BF5141"/>
    <w:rsid w:val="00C00C0E"/>
    <w:rsid w:val="00C174E0"/>
    <w:rsid w:val="00C2704E"/>
    <w:rsid w:val="00C33331"/>
    <w:rsid w:val="00C37EF7"/>
    <w:rsid w:val="00C5068F"/>
    <w:rsid w:val="00C577D7"/>
    <w:rsid w:val="00C91FBD"/>
    <w:rsid w:val="00C95A75"/>
    <w:rsid w:val="00CA44C2"/>
    <w:rsid w:val="00CA4C84"/>
    <w:rsid w:val="00CD0A54"/>
    <w:rsid w:val="00CD4EFF"/>
    <w:rsid w:val="00CD6793"/>
    <w:rsid w:val="00CF2134"/>
    <w:rsid w:val="00CF7B56"/>
    <w:rsid w:val="00D02BF3"/>
    <w:rsid w:val="00D13EA0"/>
    <w:rsid w:val="00D15567"/>
    <w:rsid w:val="00D16906"/>
    <w:rsid w:val="00D2787A"/>
    <w:rsid w:val="00D708AA"/>
    <w:rsid w:val="00D87F4E"/>
    <w:rsid w:val="00D90FA3"/>
    <w:rsid w:val="00D90FC6"/>
    <w:rsid w:val="00D97FDA"/>
    <w:rsid w:val="00DB03F4"/>
    <w:rsid w:val="00DD69A8"/>
    <w:rsid w:val="00DF6491"/>
    <w:rsid w:val="00E03962"/>
    <w:rsid w:val="00E144A8"/>
    <w:rsid w:val="00E20893"/>
    <w:rsid w:val="00E213DA"/>
    <w:rsid w:val="00E2225D"/>
    <w:rsid w:val="00E571F5"/>
    <w:rsid w:val="00E652CF"/>
    <w:rsid w:val="00E87535"/>
    <w:rsid w:val="00E93741"/>
    <w:rsid w:val="00EA546C"/>
    <w:rsid w:val="00EA7265"/>
    <w:rsid w:val="00EA7A18"/>
    <w:rsid w:val="00EB4F0A"/>
    <w:rsid w:val="00EB7AE0"/>
    <w:rsid w:val="00ED1ED9"/>
    <w:rsid w:val="00ED42D6"/>
    <w:rsid w:val="00ED513D"/>
    <w:rsid w:val="00F03093"/>
    <w:rsid w:val="00F04F29"/>
    <w:rsid w:val="00F236FB"/>
    <w:rsid w:val="00F31082"/>
    <w:rsid w:val="00F3363A"/>
    <w:rsid w:val="00F40D5C"/>
    <w:rsid w:val="00F43225"/>
    <w:rsid w:val="00F53DF7"/>
    <w:rsid w:val="00F54992"/>
    <w:rsid w:val="00F65AB4"/>
    <w:rsid w:val="00F73F78"/>
    <w:rsid w:val="00F831F4"/>
    <w:rsid w:val="00F8785C"/>
    <w:rsid w:val="00F90C33"/>
    <w:rsid w:val="00F95BEF"/>
    <w:rsid w:val="00FA477E"/>
    <w:rsid w:val="00FC688B"/>
    <w:rsid w:val="00FC6E4F"/>
    <w:rsid w:val="00FE42B0"/>
    <w:rsid w:val="00FE79BC"/>
    <w:rsid w:val="00FF3B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11"/>
  </w:style>
  <w:style w:type="paragraph" w:styleId="Heading1">
    <w:name w:val="heading 1"/>
    <w:basedOn w:val="Normal"/>
    <w:next w:val="Normal"/>
    <w:link w:val="Heading1Char"/>
    <w:uiPriority w:val="9"/>
    <w:qFormat/>
    <w:rsid w:val="006C6F49"/>
    <w:pPr>
      <w:tabs>
        <w:tab w:val="num" w:pos="570"/>
      </w:tabs>
      <w:spacing w:before="240" w:after="240"/>
      <w:outlineLvl w:val="0"/>
    </w:pPr>
    <w:rPr>
      <w:rFonts w:cs="Arial"/>
      <w:b/>
      <w:szCs w:val="24"/>
    </w:rPr>
  </w:style>
  <w:style w:type="paragraph" w:styleId="Heading2">
    <w:name w:val="heading 2"/>
    <w:basedOn w:val="Normal"/>
    <w:next w:val="Normal"/>
    <w:link w:val="Heading2Char"/>
    <w:uiPriority w:val="9"/>
    <w:unhideWhenUsed/>
    <w:qFormat/>
    <w:rsid w:val="006C6F49"/>
    <w:pPr>
      <w:outlineLvl w:val="1"/>
    </w:pPr>
    <w:rPr>
      <w:rFonts w:cs="Arial"/>
      <w:b/>
      <w:szCs w:val="24"/>
    </w:rPr>
  </w:style>
  <w:style w:type="paragraph" w:styleId="Heading3">
    <w:name w:val="heading 3"/>
    <w:basedOn w:val="Normal"/>
    <w:next w:val="Normal"/>
    <w:link w:val="Heading3Char"/>
    <w:uiPriority w:val="9"/>
    <w:unhideWhenUsed/>
    <w:qFormat/>
    <w:rsid w:val="006C6F49"/>
    <w:pPr>
      <w:tabs>
        <w:tab w:val="num" w:pos="1163"/>
      </w:tabs>
      <w:spacing w:before="240" w:after="240"/>
      <w:ind w:left="570"/>
      <w:outlineLvl w:val="2"/>
    </w:pPr>
    <w:rPr>
      <w:rFonts w:eastAsia="Times New Roman"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B56"/>
    <w:pPr>
      <w:ind w:left="720"/>
      <w:contextualSpacing/>
    </w:pPr>
  </w:style>
  <w:style w:type="paragraph" w:customStyle="1" w:styleId="Number">
    <w:name w:val="Number"/>
    <w:basedOn w:val="Normal"/>
    <w:rsid w:val="00973780"/>
    <w:pPr>
      <w:tabs>
        <w:tab w:val="num" w:pos="360"/>
      </w:tabs>
      <w:spacing w:before="240" w:after="0" w:line="240" w:lineRule="auto"/>
    </w:pPr>
    <w:rPr>
      <w:rFonts w:eastAsia="Times New Roman" w:cs="Times New Roman"/>
      <w:sz w:val="22"/>
      <w:szCs w:val="20"/>
      <w:lang w:eastAsia="en-GB"/>
    </w:rPr>
  </w:style>
  <w:style w:type="paragraph" w:customStyle="1" w:styleId="NEACbullet">
    <w:name w:val="NEAC bullet"/>
    <w:basedOn w:val="ListBullet"/>
    <w:rsid w:val="00973780"/>
    <w:pPr>
      <w:numPr>
        <w:numId w:val="0"/>
      </w:numPr>
      <w:tabs>
        <w:tab w:val="num" w:pos="720"/>
      </w:tabs>
      <w:spacing w:before="240" w:after="0" w:line="240" w:lineRule="auto"/>
      <w:ind w:left="720" w:hanging="360"/>
      <w:contextualSpacing w:val="0"/>
    </w:pPr>
    <w:rPr>
      <w:rFonts w:ascii="Arial Mäori" w:eastAsia="Times New Roman" w:hAnsi="Arial Mäori" w:cs="Times New Roman"/>
      <w:szCs w:val="24"/>
      <w:lang w:eastAsia="en-GB"/>
    </w:rPr>
  </w:style>
  <w:style w:type="paragraph" w:styleId="ListBullet">
    <w:name w:val="List Bullet"/>
    <w:basedOn w:val="Normal"/>
    <w:uiPriority w:val="99"/>
    <w:semiHidden/>
    <w:unhideWhenUsed/>
    <w:rsid w:val="00973780"/>
    <w:pPr>
      <w:numPr>
        <w:numId w:val="5"/>
      </w:numPr>
      <w:contextualSpacing/>
    </w:pPr>
  </w:style>
  <w:style w:type="paragraph" w:styleId="FootnoteText">
    <w:name w:val="footnote text"/>
    <w:basedOn w:val="Normal"/>
    <w:link w:val="FootnoteTextChar"/>
    <w:uiPriority w:val="99"/>
    <w:semiHidden/>
    <w:unhideWhenUsed/>
    <w:rsid w:val="000A1A8C"/>
    <w:pPr>
      <w:spacing w:after="0" w:line="240" w:lineRule="auto"/>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semiHidden/>
    <w:rsid w:val="000A1A8C"/>
    <w:rPr>
      <w:rFonts w:asciiTheme="minorHAnsi" w:eastAsiaTheme="minorEastAsia" w:hAnsiTheme="minorHAnsi"/>
      <w:sz w:val="20"/>
      <w:szCs w:val="20"/>
    </w:rPr>
  </w:style>
  <w:style w:type="character" w:styleId="FootnoteReference">
    <w:name w:val="footnote reference"/>
    <w:basedOn w:val="DefaultParagraphFont"/>
    <w:uiPriority w:val="99"/>
    <w:semiHidden/>
    <w:unhideWhenUsed/>
    <w:rsid w:val="000A1A8C"/>
    <w:rPr>
      <w:vertAlign w:val="superscript"/>
    </w:rPr>
  </w:style>
  <w:style w:type="paragraph" w:styleId="Header">
    <w:name w:val="header"/>
    <w:basedOn w:val="Normal"/>
    <w:link w:val="HeaderChar"/>
    <w:uiPriority w:val="99"/>
    <w:unhideWhenUsed/>
    <w:rsid w:val="00B75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722"/>
  </w:style>
  <w:style w:type="paragraph" w:styleId="Footer">
    <w:name w:val="footer"/>
    <w:basedOn w:val="Normal"/>
    <w:link w:val="FooterChar"/>
    <w:uiPriority w:val="99"/>
    <w:unhideWhenUsed/>
    <w:rsid w:val="00B75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722"/>
  </w:style>
  <w:style w:type="character" w:styleId="CommentReference">
    <w:name w:val="annotation reference"/>
    <w:basedOn w:val="DefaultParagraphFont"/>
    <w:uiPriority w:val="99"/>
    <w:semiHidden/>
    <w:unhideWhenUsed/>
    <w:rsid w:val="00BC44FF"/>
    <w:rPr>
      <w:sz w:val="16"/>
      <w:szCs w:val="16"/>
    </w:rPr>
  </w:style>
  <w:style w:type="paragraph" w:styleId="CommentText">
    <w:name w:val="annotation text"/>
    <w:basedOn w:val="Normal"/>
    <w:link w:val="CommentTextChar"/>
    <w:uiPriority w:val="99"/>
    <w:semiHidden/>
    <w:unhideWhenUsed/>
    <w:rsid w:val="00BC44FF"/>
    <w:pPr>
      <w:spacing w:line="240" w:lineRule="auto"/>
    </w:pPr>
    <w:rPr>
      <w:sz w:val="20"/>
      <w:szCs w:val="20"/>
    </w:rPr>
  </w:style>
  <w:style w:type="character" w:customStyle="1" w:styleId="CommentTextChar">
    <w:name w:val="Comment Text Char"/>
    <w:basedOn w:val="DefaultParagraphFont"/>
    <w:link w:val="CommentText"/>
    <w:uiPriority w:val="99"/>
    <w:semiHidden/>
    <w:rsid w:val="00BC44FF"/>
    <w:rPr>
      <w:sz w:val="20"/>
      <w:szCs w:val="20"/>
    </w:rPr>
  </w:style>
  <w:style w:type="paragraph" w:styleId="CommentSubject">
    <w:name w:val="annotation subject"/>
    <w:basedOn w:val="CommentText"/>
    <w:next w:val="CommentText"/>
    <w:link w:val="CommentSubjectChar"/>
    <w:uiPriority w:val="99"/>
    <w:semiHidden/>
    <w:unhideWhenUsed/>
    <w:rsid w:val="00BC44FF"/>
    <w:rPr>
      <w:b/>
      <w:bCs/>
    </w:rPr>
  </w:style>
  <w:style w:type="character" w:customStyle="1" w:styleId="CommentSubjectChar">
    <w:name w:val="Comment Subject Char"/>
    <w:basedOn w:val="CommentTextChar"/>
    <w:link w:val="CommentSubject"/>
    <w:uiPriority w:val="99"/>
    <w:semiHidden/>
    <w:rsid w:val="00BC44FF"/>
    <w:rPr>
      <w:b/>
      <w:bCs/>
      <w:sz w:val="20"/>
      <w:szCs w:val="20"/>
    </w:rPr>
  </w:style>
  <w:style w:type="paragraph" w:styleId="BalloonText">
    <w:name w:val="Balloon Text"/>
    <w:basedOn w:val="Normal"/>
    <w:link w:val="BalloonTextChar"/>
    <w:uiPriority w:val="99"/>
    <w:semiHidden/>
    <w:unhideWhenUsed/>
    <w:rsid w:val="00BC4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FF"/>
    <w:rPr>
      <w:rFonts w:ascii="Tahoma" w:hAnsi="Tahoma" w:cs="Tahoma"/>
      <w:sz w:val="16"/>
      <w:szCs w:val="16"/>
    </w:rPr>
  </w:style>
  <w:style w:type="table" w:styleId="TableGrid">
    <w:name w:val="Table Grid"/>
    <w:basedOn w:val="TableNormal"/>
    <w:uiPriority w:val="59"/>
    <w:rsid w:val="00611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6F49"/>
    <w:rPr>
      <w:rFonts w:cs="Arial"/>
      <w:b/>
      <w:szCs w:val="24"/>
    </w:rPr>
  </w:style>
  <w:style w:type="character" w:customStyle="1" w:styleId="Heading2Char">
    <w:name w:val="Heading 2 Char"/>
    <w:basedOn w:val="DefaultParagraphFont"/>
    <w:link w:val="Heading2"/>
    <w:uiPriority w:val="9"/>
    <w:rsid w:val="006C6F49"/>
    <w:rPr>
      <w:rFonts w:cs="Arial"/>
      <w:b/>
      <w:szCs w:val="24"/>
    </w:rPr>
  </w:style>
  <w:style w:type="character" w:customStyle="1" w:styleId="Heading3Char">
    <w:name w:val="Heading 3 Char"/>
    <w:basedOn w:val="DefaultParagraphFont"/>
    <w:link w:val="Heading3"/>
    <w:uiPriority w:val="9"/>
    <w:rsid w:val="006C6F49"/>
    <w:rPr>
      <w:rFonts w:eastAsia="Times New Roman" w:cs="Arial"/>
      <w:b/>
      <w:szCs w:val="24"/>
    </w:rPr>
  </w:style>
  <w:style w:type="paragraph" w:styleId="Title">
    <w:name w:val="Title"/>
    <w:basedOn w:val="Heading1"/>
    <w:next w:val="Normal"/>
    <w:link w:val="TitleChar"/>
    <w:uiPriority w:val="10"/>
    <w:qFormat/>
    <w:rsid w:val="00FE79BC"/>
  </w:style>
  <w:style w:type="character" w:customStyle="1" w:styleId="TitleChar">
    <w:name w:val="Title Char"/>
    <w:basedOn w:val="DefaultParagraphFont"/>
    <w:link w:val="Title"/>
    <w:uiPriority w:val="10"/>
    <w:rsid w:val="00FE79BC"/>
    <w:rPr>
      <w:rFonts w:cs="Arial"/>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B56"/>
    <w:pPr>
      <w:ind w:left="720"/>
      <w:contextualSpacing/>
    </w:pPr>
  </w:style>
  <w:style w:type="paragraph" w:customStyle="1" w:styleId="Number">
    <w:name w:val="Number"/>
    <w:basedOn w:val="Normal"/>
    <w:rsid w:val="00973780"/>
    <w:pPr>
      <w:tabs>
        <w:tab w:val="num" w:pos="360"/>
      </w:tabs>
      <w:spacing w:before="240" w:after="0" w:line="240" w:lineRule="auto"/>
    </w:pPr>
    <w:rPr>
      <w:rFonts w:eastAsia="Times New Roman" w:cs="Times New Roman"/>
      <w:sz w:val="22"/>
      <w:szCs w:val="20"/>
      <w:lang w:eastAsia="en-GB"/>
    </w:rPr>
  </w:style>
  <w:style w:type="paragraph" w:customStyle="1" w:styleId="NEACbullet">
    <w:name w:val="NEAC bullet"/>
    <w:basedOn w:val="ListBullet"/>
    <w:rsid w:val="00973780"/>
    <w:pPr>
      <w:numPr>
        <w:numId w:val="0"/>
      </w:numPr>
      <w:tabs>
        <w:tab w:val="num" w:pos="720"/>
      </w:tabs>
      <w:spacing w:before="240" w:after="0" w:line="240" w:lineRule="auto"/>
      <w:ind w:left="720" w:hanging="360"/>
      <w:contextualSpacing w:val="0"/>
    </w:pPr>
    <w:rPr>
      <w:rFonts w:ascii="Arial Mäori" w:eastAsia="Times New Roman" w:hAnsi="Arial Mäori" w:cs="Times New Roman"/>
      <w:szCs w:val="24"/>
      <w:lang w:eastAsia="en-GB"/>
    </w:rPr>
  </w:style>
  <w:style w:type="paragraph" w:styleId="ListBullet">
    <w:name w:val="List Bullet"/>
    <w:basedOn w:val="Normal"/>
    <w:uiPriority w:val="99"/>
    <w:semiHidden/>
    <w:unhideWhenUsed/>
    <w:rsid w:val="00973780"/>
    <w:pPr>
      <w:numPr>
        <w:numId w:val="5"/>
      </w:numPr>
      <w:contextualSpacing/>
    </w:pPr>
  </w:style>
  <w:style w:type="paragraph" w:styleId="FootnoteText">
    <w:name w:val="footnote text"/>
    <w:basedOn w:val="Normal"/>
    <w:link w:val="FootnoteTextChar"/>
    <w:uiPriority w:val="99"/>
    <w:semiHidden/>
    <w:unhideWhenUsed/>
    <w:rsid w:val="000A1A8C"/>
    <w:pPr>
      <w:spacing w:after="0" w:line="240" w:lineRule="auto"/>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semiHidden/>
    <w:rsid w:val="000A1A8C"/>
    <w:rPr>
      <w:rFonts w:asciiTheme="minorHAnsi" w:eastAsiaTheme="minorEastAsia" w:hAnsiTheme="minorHAnsi"/>
      <w:sz w:val="20"/>
      <w:szCs w:val="20"/>
    </w:rPr>
  </w:style>
  <w:style w:type="character" w:styleId="FootnoteReference">
    <w:name w:val="footnote reference"/>
    <w:basedOn w:val="DefaultParagraphFont"/>
    <w:uiPriority w:val="99"/>
    <w:semiHidden/>
    <w:unhideWhenUsed/>
    <w:rsid w:val="000A1A8C"/>
    <w:rPr>
      <w:vertAlign w:val="superscript"/>
    </w:rPr>
  </w:style>
  <w:style w:type="paragraph" w:styleId="Header">
    <w:name w:val="header"/>
    <w:basedOn w:val="Normal"/>
    <w:link w:val="HeaderChar"/>
    <w:uiPriority w:val="99"/>
    <w:unhideWhenUsed/>
    <w:rsid w:val="00B75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722"/>
  </w:style>
  <w:style w:type="paragraph" w:styleId="Footer">
    <w:name w:val="footer"/>
    <w:basedOn w:val="Normal"/>
    <w:link w:val="FooterChar"/>
    <w:uiPriority w:val="99"/>
    <w:unhideWhenUsed/>
    <w:rsid w:val="00B75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722"/>
  </w:style>
  <w:style w:type="character" w:styleId="CommentReference">
    <w:name w:val="annotation reference"/>
    <w:basedOn w:val="DefaultParagraphFont"/>
    <w:uiPriority w:val="99"/>
    <w:semiHidden/>
    <w:unhideWhenUsed/>
    <w:rsid w:val="00BC44FF"/>
    <w:rPr>
      <w:sz w:val="16"/>
      <w:szCs w:val="16"/>
    </w:rPr>
  </w:style>
  <w:style w:type="paragraph" w:styleId="CommentText">
    <w:name w:val="annotation text"/>
    <w:basedOn w:val="Normal"/>
    <w:link w:val="CommentTextChar"/>
    <w:uiPriority w:val="99"/>
    <w:semiHidden/>
    <w:unhideWhenUsed/>
    <w:rsid w:val="00BC44FF"/>
    <w:pPr>
      <w:spacing w:line="240" w:lineRule="auto"/>
    </w:pPr>
    <w:rPr>
      <w:sz w:val="20"/>
      <w:szCs w:val="20"/>
    </w:rPr>
  </w:style>
  <w:style w:type="character" w:customStyle="1" w:styleId="CommentTextChar">
    <w:name w:val="Comment Text Char"/>
    <w:basedOn w:val="DefaultParagraphFont"/>
    <w:link w:val="CommentText"/>
    <w:uiPriority w:val="99"/>
    <w:semiHidden/>
    <w:rsid w:val="00BC44FF"/>
    <w:rPr>
      <w:sz w:val="20"/>
      <w:szCs w:val="20"/>
    </w:rPr>
  </w:style>
  <w:style w:type="paragraph" w:styleId="CommentSubject">
    <w:name w:val="annotation subject"/>
    <w:basedOn w:val="CommentText"/>
    <w:next w:val="CommentText"/>
    <w:link w:val="CommentSubjectChar"/>
    <w:uiPriority w:val="99"/>
    <w:semiHidden/>
    <w:unhideWhenUsed/>
    <w:rsid w:val="00BC44FF"/>
    <w:rPr>
      <w:b/>
      <w:bCs/>
    </w:rPr>
  </w:style>
  <w:style w:type="character" w:customStyle="1" w:styleId="CommentSubjectChar">
    <w:name w:val="Comment Subject Char"/>
    <w:basedOn w:val="CommentTextChar"/>
    <w:link w:val="CommentSubject"/>
    <w:uiPriority w:val="99"/>
    <w:semiHidden/>
    <w:rsid w:val="00BC44FF"/>
    <w:rPr>
      <w:b/>
      <w:bCs/>
      <w:sz w:val="20"/>
      <w:szCs w:val="20"/>
    </w:rPr>
  </w:style>
  <w:style w:type="paragraph" w:styleId="BalloonText">
    <w:name w:val="Balloon Text"/>
    <w:basedOn w:val="Normal"/>
    <w:link w:val="BalloonTextChar"/>
    <w:uiPriority w:val="99"/>
    <w:semiHidden/>
    <w:unhideWhenUsed/>
    <w:rsid w:val="00BC4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FF"/>
    <w:rPr>
      <w:rFonts w:ascii="Tahoma" w:hAnsi="Tahoma" w:cs="Tahoma"/>
      <w:sz w:val="16"/>
      <w:szCs w:val="16"/>
    </w:rPr>
  </w:style>
  <w:style w:type="table" w:styleId="TableGrid">
    <w:name w:val="Table Grid"/>
    <w:basedOn w:val="TableNormal"/>
    <w:uiPriority w:val="59"/>
    <w:rsid w:val="00611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EB874-1947-45E9-8841-DF79135A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3053</Words>
  <Characters>17405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Relating to Access to Organ Transplantation: NEAC Report to the  Associate Minister of Health</dc:title>
  <dc:creator>Ministry of Health</dc:creator>
  <cp:lastModifiedBy>Ministry of Health</cp:lastModifiedBy>
  <cp:revision>4</cp:revision>
  <cp:lastPrinted>2014-09-09T04:26:00Z</cp:lastPrinted>
  <dcterms:created xsi:type="dcterms:W3CDTF">2015-05-05T22:48:00Z</dcterms:created>
  <dcterms:modified xsi:type="dcterms:W3CDTF">2015-05-06T00:25:00Z</dcterms:modified>
</cp:coreProperties>
</file>