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2EB59" w14:textId="77777777" w:rsidR="00D91C65" w:rsidRPr="0090056F" w:rsidRDefault="00D91C65" w:rsidP="00D91C65">
      <w:pPr>
        <w:jc w:val="center"/>
        <w:rPr>
          <w:b/>
          <w:noProof/>
        </w:rPr>
      </w:pPr>
    </w:p>
    <w:p w14:paraId="594F5FA5" w14:textId="198FF3F9" w:rsidR="00D91C65" w:rsidRPr="0090056F" w:rsidRDefault="00D91C65" w:rsidP="00D91C65">
      <w:pPr>
        <w:jc w:val="center"/>
        <w:rPr>
          <w:b/>
          <w:noProof/>
        </w:rPr>
      </w:pPr>
      <w:r w:rsidRPr="0090056F">
        <w:rPr>
          <w:noProof/>
        </w:rPr>
        <w:drawing>
          <wp:anchor distT="0" distB="0" distL="114300" distR="114300" simplePos="0" relativeHeight="251659264" behindDoc="1" locked="0" layoutInCell="1" allowOverlap="1" wp14:anchorId="428F5EA4" wp14:editId="25720FED">
            <wp:simplePos x="0" y="0"/>
            <wp:positionH relativeFrom="margin">
              <wp:align>center</wp:align>
            </wp:positionH>
            <wp:positionV relativeFrom="paragraph">
              <wp:posOffset>13335</wp:posOffset>
            </wp:positionV>
            <wp:extent cx="2506345" cy="963295"/>
            <wp:effectExtent l="0" t="0" r="8255" b="8255"/>
            <wp:wrapTight wrapText="bothSides">
              <wp:wrapPolygon edited="0">
                <wp:start x="0" y="0"/>
                <wp:lineTo x="0" y="21358"/>
                <wp:lineTo x="21507" y="21358"/>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06345" cy="963295"/>
                    </a:xfrm>
                    <a:prstGeom prst="rect">
                      <a:avLst/>
                    </a:prstGeom>
                  </pic:spPr>
                </pic:pic>
              </a:graphicData>
            </a:graphic>
            <wp14:sizeRelH relativeFrom="margin">
              <wp14:pctWidth>0</wp14:pctWidth>
            </wp14:sizeRelH>
            <wp14:sizeRelV relativeFrom="margin">
              <wp14:pctHeight>0</wp14:pctHeight>
            </wp14:sizeRelV>
          </wp:anchor>
        </w:drawing>
      </w:r>
    </w:p>
    <w:p w14:paraId="28BB1E6E" w14:textId="77777777" w:rsidR="00D91C65" w:rsidRPr="0090056F" w:rsidRDefault="00D91C65" w:rsidP="00D91C65">
      <w:pPr>
        <w:jc w:val="center"/>
        <w:rPr>
          <w:b/>
          <w:noProof/>
        </w:rPr>
      </w:pPr>
    </w:p>
    <w:p w14:paraId="358C94D0" w14:textId="77777777" w:rsidR="00D91C65" w:rsidRPr="0090056F" w:rsidRDefault="00D91C65" w:rsidP="00D91C65">
      <w:pPr>
        <w:jc w:val="center"/>
        <w:rPr>
          <w:b/>
          <w:noProof/>
        </w:rPr>
      </w:pPr>
    </w:p>
    <w:p w14:paraId="01558FDA" w14:textId="77777777" w:rsidR="00D91C65" w:rsidRPr="0090056F" w:rsidRDefault="00D91C65" w:rsidP="00D91C65">
      <w:pPr>
        <w:jc w:val="center"/>
        <w:rPr>
          <w:b/>
          <w:noProof/>
        </w:rPr>
      </w:pPr>
    </w:p>
    <w:p w14:paraId="72A00943" w14:textId="23D9AE66" w:rsidR="00D91C65" w:rsidRPr="0090056F" w:rsidRDefault="00D91C65" w:rsidP="00D91C65">
      <w:pPr>
        <w:jc w:val="center"/>
        <w:rPr>
          <w:b/>
          <w:noProof/>
        </w:rPr>
      </w:pPr>
      <w:r w:rsidRPr="0090056F">
        <w:rPr>
          <w:b/>
          <w:noProof/>
        </w:rPr>
        <w:t xml:space="preserve">National Ethics Advisory Committee </w:t>
      </w:r>
    </w:p>
    <w:p w14:paraId="7104347A" w14:textId="66DFD2A0" w:rsidR="00D91C65" w:rsidRPr="0090056F" w:rsidRDefault="0090056F" w:rsidP="00D91C65">
      <w:pPr>
        <w:jc w:val="center"/>
        <w:rPr>
          <w:b/>
          <w:bCs/>
          <w:color w:val="000000" w:themeColor="text1"/>
        </w:rPr>
      </w:pPr>
      <w:r w:rsidRPr="0090056F">
        <w:rPr>
          <w:b/>
          <w:bCs/>
          <w:color w:val="000000" w:themeColor="text1"/>
        </w:rPr>
        <w:t>26 May 2022</w:t>
      </w:r>
    </w:p>
    <w:p w14:paraId="1677DA91" w14:textId="62F6AF86" w:rsidR="00D91C65" w:rsidRPr="0090056F" w:rsidRDefault="00D91C65" w:rsidP="00D91C65">
      <w:pPr>
        <w:jc w:val="center"/>
        <w:rPr>
          <w:b/>
          <w:bCs/>
        </w:rPr>
      </w:pPr>
      <w:r w:rsidRPr="0090056F">
        <w:rPr>
          <w:b/>
          <w:bCs/>
        </w:rPr>
        <w:t xml:space="preserve">9:00am – 3:00pm </w:t>
      </w:r>
    </w:p>
    <w:sdt>
      <w:sdtPr>
        <w:rPr>
          <w:rFonts w:asciiTheme="minorHAnsi" w:eastAsiaTheme="minorHAnsi" w:hAnsiTheme="minorHAnsi" w:cstheme="minorBidi"/>
          <w:color w:val="auto"/>
          <w:sz w:val="22"/>
          <w:szCs w:val="22"/>
        </w:rPr>
        <w:id w:val="-560714400"/>
        <w:docPartObj>
          <w:docPartGallery w:val="Table of Contents"/>
          <w:docPartUnique/>
        </w:docPartObj>
      </w:sdtPr>
      <w:sdtEndPr>
        <w:rPr>
          <w:rFonts w:eastAsiaTheme="minorEastAsia"/>
          <w:b/>
          <w:bCs/>
          <w:noProof/>
          <w:sz w:val="20"/>
          <w:szCs w:val="20"/>
        </w:rPr>
      </w:sdtEndPr>
      <w:sdtContent>
        <w:p w14:paraId="17463515" w14:textId="0C7B3FC7" w:rsidR="007C77C8" w:rsidRPr="0090056F" w:rsidRDefault="007C77C8">
          <w:pPr>
            <w:pStyle w:val="TOCHeading"/>
            <w:rPr>
              <w:b/>
              <w:bCs/>
              <w:color w:val="324F5C"/>
            </w:rPr>
          </w:pPr>
          <w:r w:rsidRPr="0090056F">
            <w:rPr>
              <w:b/>
              <w:bCs/>
              <w:color w:val="324F5C"/>
            </w:rPr>
            <w:t>Table of Contents</w:t>
          </w:r>
        </w:p>
        <w:p w14:paraId="6FEAD908" w14:textId="49096A10" w:rsidR="00EA3313" w:rsidRDefault="007C77C8">
          <w:pPr>
            <w:pStyle w:val="TOC1"/>
            <w:tabs>
              <w:tab w:val="right" w:leader="dot" w:pos="9016"/>
            </w:tabs>
            <w:rPr>
              <w:noProof/>
              <w:lang w:eastAsia="en-NZ"/>
            </w:rPr>
          </w:pPr>
          <w:r w:rsidRPr="0090056F">
            <w:fldChar w:fldCharType="begin"/>
          </w:r>
          <w:r w:rsidRPr="0090056F">
            <w:instrText xml:space="preserve"> TOC \o "1-3" \h \z \u </w:instrText>
          </w:r>
          <w:r w:rsidRPr="0090056F">
            <w:fldChar w:fldCharType="separate"/>
          </w:r>
          <w:hyperlink w:anchor="_Toc104562384" w:history="1">
            <w:r w:rsidR="00EA3313" w:rsidRPr="00A22C6F">
              <w:rPr>
                <w:rStyle w:val="Hyperlink"/>
                <w:b/>
                <w:bCs/>
                <w:noProof/>
              </w:rPr>
              <w:t>Declaration of Interests</w:t>
            </w:r>
            <w:r w:rsidR="00EA3313" w:rsidRPr="00A22C6F">
              <w:rPr>
                <w:noProof/>
                <w:webHidden/>
              </w:rPr>
              <w:tab/>
            </w:r>
            <w:r w:rsidR="00EA3313" w:rsidRPr="00A22C6F">
              <w:rPr>
                <w:noProof/>
                <w:webHidden/>
              </w:rPr>
              <w:fldChar w:fldCharType="begin"/>
            </w:r>
            <w:r w:rsidR="00EA3313" w:rsidRPr="00A22C6F">
              <w:rPr>
                <w:noProof/>
                <w:webHidden/>
              </w:rPr>
              <w:instrText xml:space="preserve"> PAGEREF _Toc104562384 \h </w:instrText>
            </w:r>
            <w:r w:rsidR="00EA3313" w:rsidRPr="00A22C6F">
              <w:rPr>
                <w:noProof/>
                <w:webHidden/>
              </w:rPr>
            </w:r>
            <w:r w:rsidR="00EA3313" w:rsidRPr="00A22C6F">
              <w:rPr>
                <w:noProof/>
                <w:webHidden/>
              </w:rPr>
              <w:fldChar w:fldCharType="separate"/>
            </w:r>
            <w:r w:rsidR="00EA3313" w:rsidRPr="00A22C6F">
              <w:rPr>
                <w:noProof/>
                <w:webHidden/>
              </w:rPr>
              <w:t>2</w:t>
            </w:r>
            <w:r w:rsidR="00EA3313" w:rsidRPr="00A22C6F">
              <w:rPr>
                <w:noProof/>
                <w:webHidden/>
              </w:rPr>
              <w:fldChar w:fldCharType="end"/>
            </w:r>
          </w:hyperlink>
        </w:p>
        <w:p w14:paraId="1F95069D" w14:textId="73638C54" w:rsidR="00EA3313" w:rsidRPr="00A22C6F" w:rsidRDefault="00297F85">
          <w:pPr>
            <w:pStyle w:val="TOC1"/>
            <w:tabs>
              <w:tab w:val="right" w:leader="dot" w:pos="9016"/>
            </w:tabs>
            <w:rPr>
              <w:noProof/>
              <w:lang w:eastAsia="en-NZ"/>
            </w:rPr>
          </w:pPr>
          <w:hyperlink w:anchor="_Toc104562385" w:history="1">
            <w:r w:rsidR="00EA3313" w:rsidRPr="00A22C6F">
              <w:rPr>
                <w:rStyle w:val="Hyperlink"/>
                <w:b/>
                <w:bCs/>
                <w:noProof/>
              </w:rPr>
              <w:t>Chair’s update</w:t>
            </w:r>
            <w:r w:rsidR="00EA3313" w:rsidRPr="00A22C6F">
              <w:rPr>
                <w:noProof/>
                <w:webHidden/>
              </w:rPr>
              <w:tab/>
            </w:r>
            <w:r w:rsidR="00EA3313" w:rsidRPr="00A22C6F">
              <w:rPr>
                <w:noProof/>
                <w:webHidden/>
              </w:rPr>
              <w:fldChar w:fldCharType="begin"/>
            </w:r>
            <w:r w:rsidR="00EA3313" w:rsidRPr="00A22C6F">
              <w:rPr>
                <w:noProof/>
                <w:webHidden/>
              </w:rPr>
              <w:instrText xml:space="preserve"> PAGEREF _Toc104562385 \h </w:instrText>
            </w:r>
            <w:r w:rsidR="00EA3313" w:rsidRPr="00A22C6F">
              <w:rPr>
                <w:noProof/>
                <w:webHidden/>
              </w:rPr>
            </w:r>
            <w:r w:rsidR="00EA3313" w:rsidRPr="00A22C6F">
              <w:rPr>
                <w:noProof/>
                <w:webHidden/>
              </w:rPr>
              <w:fldChar w:fldCharType="separate"/>
            </w:r>
            <w:r w:rsidR="00EA3313" w:rsidRPr="00A22C6F">
              <w:rPr>
                <w:noProof/>
                <w:webHidden/>
              </w:rPr>
              <w:t>2</w:t>
            </w:r>
            <w:r w:rsidR="00EA3313" w:rsidRPr="00A22C6F">
              <w:rPr>
                <w:noProof/>
                <w:webHidden/>
              </w:rPr>
              <w:fldChar w:fldCharType="end"/>
            </w:r>
          </w:hyperlink>
        </w:p>
        <w:p w14:paraId="332B6E82" w14:textId="78863CDE" w:rsidR="00EA3313" w:rsidRPr="00A22C6F" w:rsidRDefault="00297F85">
          <w:pPr>
            <w:pStyle w:val="TOC1"/>
            <w:tabs>
              <w:tab w:val="right" w:leader="dot" w:pos="9016"/>
            </w:tabs>
            <w:rPr>
              <w:noProof/>
              <w:lang w:eastAsia="en-NZ"/>
            </w:rPr>
          </w:pPr>
          <w:hyperlink w:anchor="_Toc104562386" w:history="1">
            <w:r w:rsidR="00EA3313" w:rsidRPr="00A22C6F">
              <w:rPr>
                <w:rStyle w:val="Hyperlink"/>
                <w:b/>
                <w:bCs/>
                <w:noProof/>
              </w:rPr>
              <w:t>Approval of minutes from NEAC’s 24 March 2022 meeting</w:t>
            </w:r>
            <w:r w:rsidR="00EA3313" w:rsidRPr="00A22C6F">
              <w:rPr>
                <w:noProof/>
                <w:webHidden/>
              </w:rPr>
              <w:tab/>
            </w:r>
            <w:r w:rsidR="00EA3313" w:rsidRPr="00A22C6F">
              <w:rPr>
                <w:noProof/>
                <w:webHidden/>
              </w:rPr>
              <w:fldChar w:fldCharType="begin"/>
            </w:r>
            <w:r w:rsidR="00EA3313" w:rsidRPr="00A22C6F">
              <w:rPr>
                <w:noProof/>
                <w:webHidden/>
              </w:rPr>
              <w:instrText xml:space="preserve"> PAGEREF _Toc104562386 \h </w:instrText>
            </w:r>
            <w:r w:rsidR="00EA3313" w:rsidRPr="00A22C6F">
              <w:rPr>
                <w:noProof/>
                <w:webHidden/>
              </w:rPr>
            </w:r>
            <w:r w:rsidR="00EA3313" w:rsidRPr="00A22C6F">
              <w:rPr>
                <w:noProof/>
                <w:webHidden/>
              </w:rPr>
              <w:fldChar w:fldCharType="separate"/>
            </w:r>
            <w:r w:rsidR="00EA3313" w:rsidRPr="00A22C6F">
              <w:rPr>
                <w:noProof/>
                <w:webHidden/>
              </w:rPr>
              <w:t>2</w:t>
            </w:r>
            <w:r w:rsidR="00EA3313" w:rsidRPr="00A22C6F">
              <w:rPr>
                <w:noProof/>
                <w:webHidden/>
              </w:rPr>
              <w:fldChar w:fldCharType="end"/>
            </w:r>
          </w:hyperlink>
        </w:p>
        <w:p w14:paraId="243B30EB" w14:textId="0A4467A7" w:rsidR="00EA3313" w:rsidRPr="00A22C6F" w:rsidRDefault="00297F85">
          <w:pPr>
            <w:pStyle w:val="TOC1"/>
            <w:tabs>
              <w:tab w:val="right" w:leader="dot" w:pos="9016"/>
            </w:tabs>
            <w:rPr>
              <w:noProof/>
              <w:lang w:eastAsia="en-NZ"/>
            </w:rPr>
          </w:pPr>
          <w:hyperlink w:anchor="_Toc104562387" w:history="1">
            <w:r w:rsidR="00EA3313" w:rsidRPr="00A22C6F">
              <w:rPr>
                <w:rStyle w:val="Hyperlink"/>
                <w:b/>
                <w:bCs/>
                <w:noProof/>
              </w:rPr>
              <w:t>NEAC Standards review</w:t>
            </w:r>
            <w:r w:rsidR="00EA3313" w:rsidRPr="00A22C6F">
              <w:rPr>
                <w:noProof/>
                <w:webHidden/>
              </w:rPr>
              <w:tab/>
            </w:r>
            <w:r w:rsidR="00EA3313" w:rsidRPr="00A22C6F">
              <w:rPr>
                <w:noProof/>
                <w:webHidden/>
              </w:rPr>
              <w:fldChar w:fldCharType="begin"/>
            </w:r>
            <w:r w:rsidR="00EA3313" w:rsidRPr="00A22C6F">
              <w:rPr>
                <w:noProof/>
                <w:webHidden/>
              </w:rPr>
              <w:instrText xml:space="preserve"> PAGEREF _Toc104562387 \h </w:instrText>
            </w:r>
            <w:r w:rsidR="00EA3313" w:rsidRPr="00A22C6F">
              <w:rPr>
                <w:noProof/>
                <w:webHidden/>
              </w:rPr>
            </w:r>
            <w:r w:rsidR="00EA3313" w:rsidRPr="00A22C6F">
              <w:rPr>
                <w:noProof/>
                <w:webHidden/>
              </w:rPr>
              <w:fldChar w:fldCharType="separate"/>
            </w:r>
            <w:r w:rsidR="00EA3313" w:rsidRPr="00A22C6F">
              <w:rPr>
                <w:noProof/>
                <w:webHidden/>
              </w:rPr>
              <w:t>2</w:t>
            </w:r>
            <w:r w:rsidR="00EA3313" w:rsidRPr="00A22C6F">
              <w:rPr>
                <w:noProof/>
                <w:webHidden/>
              </w:rPr>
              <w:fldChar w:fldCharType="end"/>
            </w:r>
          </w:hyperlink>
        </w:p>
        <w:p w14:paraId="0DD069FC" w14:textId="6485E005" w:rsidR="00EA3313" w:rsidRDefault="00297F85">
          <w:pPr>
            <w:pStyle w:val="TOC2"/>
            <w:tabs>
              <w:tab w:val="right" w:leader="dot" w:pos="9016"/>
            </w:tabs>
            <w:rPr>
              <w:noProof/>
              <w:lang w:eastAsia="en-NZ"/>
            </w:rPr>
          </w:pPr>
          <w:hyperlink w:anchor="_Toc104562388" w:history="1">
            <w:r w:rsidR="00EA3313" w:rsidRPr="00A22C6F">
              <w:rPr>
                <w:rStyle w:val="Hyperlink"/>
                <w:b/>
                <w:bCs/>
                <w:noProof/>
              </w:rPr>
              <w:t>Actions</w:t>
            </w:r>
            <w:r w:rsidR="00EA3313" w:rsidRPr="00A22C6F">
              <w:rPr>
                <w:noProof/>
                <w:webHidden/>
              </w:rPr>
              <w:tab/>
            </w:r>
            <w:r w:rsidR="00EA3313" w:rsidRPr="00A22C6F">
              <w:rPr>
                <w:noProof/>
                <w:webHidden/>
              </w:rPr>
              <w:fldChar w:fldCharType="begin"/>
            </w:r>
            <w:r w:rsidR="00EA3313" w:rsidRPr="00A22C6F">
              <w:rPr>
                <w:noProof/>
                <w:webHidden/>
              </w:rPr>
              <w:instrText xml:space="preserve"> PAGEREF _Toc104562388 \h </w:instrText>
            </w:r>
            <w:r w:rsidR="00EA3313" w:rsidRPr="00A22C6F">
              <w:rPr>
                <w:noProof/>
                <w:webHidden/>
              </w:rPr>
            </w:r>
            <w:r w:rsidR="00EA3313" w:rsidRPr="00A22C6F">
              <w:rPr>
                <w:noProof/>
                <w:webHidden/>
              </w:rPr>
              <w:fldChar w:fldCharType="separate"/>
            </w:r>
            <w:r w:rsidR="00EA3313" w:rsidRPr="00A22C6F">
              <w:rPr>
                <w:noProof/>
                <w:webHidden/>
              </w:rPr>
              <w:t>2</w:t>
            </w:r>
            <w:r w:rsidR="00EA3313" w:rsidRPr="00A22C6F">
              <w:rPr>
                <w:noProof/>
                <w:webHidden/>
              </w:rPr>
              <w:fldChar w:fldCharType="end"/>
            </w:r>
          </w:hyperlink>
        </w:p>
        <w:p w14:paraId="0F7EAE62" w14:textId="2E0A9630" w:rsidR="00EA3313" w:rsidRDefault="00297F85">
          <w:pPr>
            <w:pStyle w:val="TOC1"/>
            <w:tabs>
              <w:tab w:val="right" w:leader="dot" w:pos="9016"/>
            </w:tabs>
            <w:rPr>
              <w:noProof/>
              <w:lang w:eastAsia="en-NZ"/>
            </w:rPr>
          </w:pPr>
          <w:hyperlink w:anchor="_Toc104562389" w:history="1">
            <w:r w:rsidR="00EA3313" w:rsidRPr="003A64AB">
              <w:rPr>
                <w:rStyle w:val="Hyperlink"/>
                <w:b/>
                <w:bCs/>
                <w:noProof/>
              </w:rPr>
              <w:t>Non-consent research</w:t>
            </w:r>
            <w:r w:rsidR="00EA3313">
              <w:rPr>
                <w:noProof/>
                <w:webHidden/>
              </w:rPr>
              <w:tab/>
            </w:r>
            <w:r w:rsidR="00EA3313">
              <w:rPr>
                <w:noProof/>
                <w:webHidden/>
              </w:rPr>
              <w:fldChar w:fldCharType="begin"/>
            </w:r>
            <w:r w:rsidR="00EA3313">
              <w:rPr>
                <w:noProof/>
                <w:webHidden/>
              </w:rPr>
              <w:instrText xml:space="preserve"> PAGEREF _Toc104562389 \h </w:instrText>
            </w:r>
            <w:r w:rsidR="00EA3313">
              <w:rPr>
                <w:noProof/>
                <w:webHidden/>
              </w:rPr>
            </w:r>
            <w:r w:rsidR="00EA3313">
              <w:rPr>
                <w:noProof/>
                <w:webHidden/>
              </w:rPr>
              <w:fldChar w:fldCharType="separate"/>
            </w:r>
            <w:r w:rsidR="00EA3313">
              <w:rPr>
                <w:noProof/>
                <w:webHidden/>
              </w:rPr>
              <w:t>2</w:t>
            </w:r>
            <w:r w:rsidR="00EA3313">
              <w:rPr>
                <w:noProof/>
                <w:webHidden/>
              </w:rPr>
              <w:fldChar w:fldCharType="end"/>
            </w:r>
          </w:hyperlink>
        </w:p>
        <w:p w14:paraId="09F4A42C" w14:textId="19052AC2" w:rsidR="00EA3313" w:rsidRDefault="00297F85">
          <w:pPr>
            <w:pStyle w:val="TOC2"/>
            <w:tabs>
              <w:tab w:val="right" w:leader="dot" w:pos="9016"/>
            </w:tabs>
            <w:rPr>
              <w:noProof/>
              <w:lang w:eastAsia="en-NZ"/>
            </w:rPr>
          </w:pPr>
          <w:hyperlink w:anchor="_Toc104562390" w:history="1">
            <w:r w:rsidR="00EA3313" w:rsidRPr="003A64AB">
              <w:rPr>
                <w:rStyle w:val="Hyperlink"/>
                <w:b/>
                <w:bCs/>
                <w:noProof/>
              </w:rPr>
              <w:t>Actions</w:t>
            </w:r>
            <w:r w:rsidR="00EA3313">
              <w:rPr>
                <w:noProof/>
                <w:webHidden/>
              </w:rPr>
              <w:tab/>
            </w:r>
            <w:r w:rsidR="00EA3313">
              <w:rPr>
                <w:noProof/>
                <w:webHidden/>
              </w:rPr>
              <w:fldChar w:fldCharType="begin"/>
            </w:r>
            <w:r w:rsidR="00EA3313">
              <w:rPr>
                <w:noProof/>
                <w:webHidden/>
              </w:rPr>
              <w:instrText xml:space="preserve"> PAGEREF _Toc104562390 \h </w:instrText>
            </w:r>
            <w:r w:rsidR="00EA3313">
              <w:rPr>
                <w:noProof/>
                <w:webHidden/>
              </w:rPr>
            </w:r>
            <w:r w:rsidR="00EA3313">
              <w:rPr>
                <w:noProof/>
                <w:webHidden/>
              </w:rPr>
              <w:fldChar w:fldCharType="separate"/>
            </w:r>
            <w:r w:rsidR="00EA3313">
              <w:rPr>
                <w:noProof/>
                <w:webHidden/>
              </w:rPr>
              <w:t>3</w:t>
            </w:r>
            <w:r w:rsidR="00EA3313">
              <w:rPr>
                <w:noProof/>
                <w:webHidden/>
              </w:rPr>
              <w:fldChar w:fldCharType="end"/>
            </w:r>
          </w:hyperlink>
        </w:p>
        <w:p w14:paraId="094AD2CD" w14:textId="79E5137C" w:rsidR="00EA3313" w:rsidRPr="00A22C6F" w:rsidRDefault="00297F85">
          <w:pPr>
            <w:pStyle w:val="TOC1"/>
            <w:tabs>
              <w:tab w:val="right" w:leader="dot" w:pos="9016"/>
            </w:tabs>
            <w:rPr>
              <w:noProof/>
              <w:lang w:eastAsia="en-NZ"/>
            </w:rPr>
          </w:pPr>
          <w:hyperlink w:anchor="_Toc104562391" w:history="1">
            <w:r w:rsidR="00EA3313" w:rsidRPr="00A22C6F">
              <w:rPr>
                <w:rStyle w:val="Hyperlink"/>
                <w:b/>
                <w:bCs/>
                <w:noProof/>
              </w:rPr>
              <w:t>Wai 2575 – Health Services and Outcomes Inquiry</w:t>
            </w:r>
            <w:r w:rsidR="00EA3313" w:rsidRPr="00A22C6F">
              <w:rPr>
                <w:noProof/>
                <w:webHidden/>
              </w:rPr>
              <w:tab/>
            </w:r>
            <w:r w:rsidR="00EA3313" w:rsidRPr="00A22C6F">
              <w:rPr>
                <w:noProof/>
                <w:webHidden/>
              </w:rPr>
              <w:fldChar w:fldCharType="begin"/>
            </w:r>
            <w:r w:rsidR="00EA3313" w:rsidRPr="00A22C6F">
              <w:rPr>
                <w:noProof/>
                <w:webHidden/>
              </w:rPr>
              <w:instrText xml:space="preserve"> PAGEREF _Toc104562391 \h </w:instrText>
            </w:r>
            <w:r w:rsidR="00EA3313" w:rsidRPr="00A22C6F">
              <w:rPr>
                <w:noProof/>
                <w:webHidden/>
              </w:rPr>
            </w:r>
            <w:r w:rsidR="00EA3313" w:rsidRPr="00A22C6F">
              <w:rPr>
                <w:noProof/>
                <w:webHidden/>
              </w:rPr>
              <w:fldChar w:fldCharType="separate"/>
            </w:r>
            <w:r w:rsidR="00EA3313" w:rsidRPr="00A22C6F">
              <w:rPr>
                <w:noProof/>
                <w:webHidden/>
              </w:rPr>
              <w:t>3</w:t>
            </w:r>
            <w:r w:rsidR="00EA3313" w:rsidRPr="00A22C6F">
              <w:rPr>
                <w:noProof/>
                <w:webHidden/>
              </w:rPr>
              <w:fldChar w:fldCharType="end"/>
            </w:r>
          </w:hyperlink>
        </w:p>
        <w:p w14:paraId="23263701" w14:textId="2ED10994" w:rsidR="00EA3313" w:rsidRPr="00A22C6F" w:rsidRDefault="00297F85">
          <w:pPr>
            <w:pStyle w:val="TOC1"/>
            <w:tabs>
              <w:tab w:val="right" w:leader="dot" w:pos="9016"/>
            </w:tabs>
            <w:rPr>
              <w:noProof/>
              <w:lang w:eastAsia="en-NZ"/>
            </w:rPr>
          </w:pPr>
          <w:hyperlink w:anchor="_Toc104562393" w:history="1">
            <w:r w:rsidR="00EA3313" w:rsidRPr="00A22C6F">
              <w:rPr>
                <w:rStyle w:val="Hyperlink"/>
                <w:b/>
                <w:bCs/>
                <w:noProof/>
              </w:rPr>
              <w:t>Presentation and update to NEAC from Minister Little’s Office</w:t>
            </w:r>
            <w:r w:rsidR="00EA3313" w:rsidRPr="00A22C6F">
              <w:rPr>
                <w:noProof/>
                <w:webHidden/>
              </w:rPr>
              <w:tab/>
            </w:r>
            <w:r w:rsidR="00EA3313" w:rsidRPr="00A22C6F">
              <w:rPr>
                <w:noProof/>
                <w:webHidden/>
              </w:rPr>
              <w:fldChar w:fldCharType="begin"/>
            </w:r>
            <w:r w:rsidR="00EA3313" w:rsidRPr="00A22C6F">
              <w:rPr>
                <w:noProof/>
                <w:webHidden/>
              </w:rPr>
              <w:instrText xml:space="preserve"> PAGEREF _Toc104562393 \h </w:instrText>
            </w:r>
            <w:r w:rsidR="00EA3313" w:rsidRPr="00A22C6F">
              <w:rPr>
                <w:noProof/>
                <w:webHidden/>
              </w:rPr>
            </w:r>
            <w:r w:rsidR="00EA3313" w:rsidRPr="00A22C6F">
              <w:rPr>
                <w:noProof/>
                <w:webHidden/>
              </w:rPr>
              <w:fldChar w:fldCharType="separate"/>
            </w:r>
            <w:r w:rsidR="00EA3313" w:rsidRPr="00A22C6F">
              <w:rPr>
                <w:noProof/>
                <w:webHidden/>
              </w:rPr>
              <w:t>3</w:t>
            </w:r>
            <w:r w:rsidR="00EA3313" w:rsidRPr="00A22C6F">
              <w:rPr>
                <w:noProof/>
                <w:webHidden/>
              </w:rPr>
              <w:fldChar w:fldCharType="end"/>
            </w:r>
          </w:hyperlink>
        </w:p>
        <w:p w14:paraId="0C18D6A4" w14:textId="53F4ED47" w:rsidR="00EA3313" w:rsidRDefault="00297F85">
          <w:pPr>
            <w:pStyle w:val="TOC2"/>
            <w:tabs>
              <w:tab w:val="right" w:leader="dot" w:pos="9016"/>
            </w:tabs>
            <w:rPr>
              <w:noProof/>
              <w:lang w:eastAsia="en-NZ"/>
            </w:rPr>
          </w:pPr>
          <w:hyperlink w:anchor="_Toc104562394" w:history="1">
            <w:r w:rsidR="00EA3313" w:rsidRPr="00A22C6F">
              <w:rPr>
                <w:rStyle w:val="Hyperlink"/>
                <w:b/>
                <w:bCs/>
                <w:noProof/>
              </w:rPr>
              <w:t>Actions</w:t>
            </w:r>
            <w:r w:rsidR="00EA3313" w:rsidRPr="00A22C6F">
              <w:rPr>
                <w:noProof/>
                <w:webHidden/>
              </w:rPr>
              <w:tab/>
            </w:r>
            <w:r w:rsidR="00EA3313" w:rsidRPr="00A22C6F">
              <w:rPr>
                <w:noProof/>
                <w:webHidden/>
              </w:rPr>
              <w:fldChar w:fldCharType="begin"/>
            </w:r>
            <w:r w:rsidR="00EA3313" w:rsidRPr="00A22C6F">
              <w:rPr>
                <w:noProof/>
                <w:webHidden/>
              </w:rPr>
              <w:instrText xml:space="preserve"> PAGEREF _Toc104562394 \h </w:instrText>
            </w:r>
            <w:r w:rsidR="00EA3313" w:rsidRPr="00A22C6F">
              <w:rPr>
                <w:noProof/>
                <w:webHidden/>
              </w:rPr>
            </w:r>
            <w:r w:rsidR="00EA3313" w:rsidRPr="00A22C6F">
              <w:rPr>
                <w:noProof/>
                <w:webHidden/>
              </w:rPr>
              <w:fldChar w:fldCharType="separate"/>
            </w:r>
            <w:r w:rsidR="00EA3313" w:rsidRPr="00A22C6F">
              <w:rPr>
                <w:noProof/>
                <w:webHidden/>
              </w:rPr>
              <w:t>4</w:t>
            </w:r>
            <w:r w:rsidR="00EA3313" w:rsidRPr="00A22C6F">
              <w:rPr>
                <w:noProof/>
                <w:webHidden/>
              </w:rPr>
              <w:fldChar w:fldCharType="end"/>
            </w:r>
          </w:hyperlink>
        </w:p>
        <w:p w14:paraId="2FEF0AAD" w14:textId="793720BA" w:rsidR="00EA3313" w:rsidRPr="003C4DE9" w:rsidRDefault="00297F85">
          <w:pPr>
            <w:pStyle w:val="TOC1"/>
            <w:tabs>
              <w:tab w:val="right" w:leader="dot" w:pos="9016"/>
            </w:tabs>
            <w:rPr>
              <w:noProof/>
              <w:lang w:eastAsia="en-NZ"/>
            </w:rPr>
          </w:pPr>
          <w:hyperlink w:anchor="_Toc104562395" w:history="1">
            <w:r w:rsidR="00EA3313" w:rsidRPr="003C4DE9">
              <w:rPr>
                <w:rStyle w:val="Hyperlink"/>
                <w:b/>
                <w:bCs/>
                <w:noProof/>
              </w:rPr>
              <w:t>Presentation to NEAC about health security and equity</w:t>
            </w:r>
            <w:r w:rsidR="00EA3313" w:rsidRPr="003C4DE9">
              <w:rPr>
                <w:noProof/>
                <w:webHidden/>
              </w:rPr>
              <w:tab/>
            </w:r>
            <w:r w:rsidR="00EA3313" w:rsidRPr="003C4DE9">
              <w:rPr>
                <w:noProof/>
                <w:webHidden/>
              </w:rPr>
              <w:fldChar w:fldCharType="begin"/>
            </w:r>
            <w:r w:rsidR="00EA3313" w:rsidRPr="003C4DE9">
              <w:rPr>
                <w:noProof/>
                <w:webHidden/>
              </w:rPr>
              <w:instrText xml:space="preserve"> PAGEREF _Toc104562395 \h </w:instrText>
            </w:r>
            <w:r w:rsidR="00EA3313" w:rsidRPr="003C4DE9">
              <w:rPr>
                <w:noProof/>
                <w:webHidden/>
              </w:rPr>
            </w:r>
            <w:r w:rsidR="00EA3313" w:rsidRPr="003C4DE9">
              <w:rPr>
                <w:noProof/>
                <w:webHidden/>
              </w:rPr>
              <w:fldChar w:fldCharType="separate"/>
            </w:r>
            <w:r w:rsidR="00EA3313" w:rsidRPr="003C4DE9">
              <w:rPr>
                <w:noProof/>
                <w:webHidden/>
              </w:rPr>
              <w:t>4</w:t>
            </w:r>
            <w:r w:rsidR="00EA3313" w:rsidRPr="003C4DE9">
              <w:rPr>
                <w:noProof/>
                <w:webHidden/>
              </w:rPr>
              <w:fldChar w:fldCharType="end"/>
            </w:r>
          </w:hyperlink>
        </w:p>
        <w:p w14:paraId="00795210" w14:textId="23B62C9F" w:rsidR="00EA3313" w:rsidRDefault="00297F85">
          <w:pPr>
            <w:pStyle w:val="TOC2"/>
            <w:tabs>
              <w:tab w:val="right" w:leader="dot" w:pos="9016"/>
            </w:tabs>
            <w:rPr>
              <w:noProof/>
              <w:lang w:eastAsia="en-NZ"/>
            </w:rPr>
          </w:pPr>
          <w:hyperlink w:anchor="_Toc104562396" w:history="1">
            <w:r w:rsidR="00EA3313" w:rsidRPr="003C4DE9">
              <w:rPr>
                <w:rStyle w:val="Hyperlink"/>
                <w:b/>
                <w:bCs/>
                <w:noProof/>
              </w:rPr>
              <w:t>Actions</w:t>
            </w:r>
            <w:r w:rsidR="00EA3313" w:rsidRPr="003C4DE9">
              <w:rPr>
                <w:noProof/>
                <w:webHidden/>
              </w:rPr>
              <w:tab/>
            </w:r>
            <w:r w:rsidR="00EA3313" w:rsidRPr="003C4DE9">
              <w:rPr>
                <w:noProof/>
                <w:webHidden/>
              </w:rPr>
              <w:fldChar w:fldCharType="begin"/>
            </w:r>
            <w:r w:rsidR="00EA3313" w:rsidRPr="003C4DE9">
              <w:rPr>
                <w:noProof/>
                <w:webHidden/>
              </w:rPr>
              <w:instrText xml:space="preserve"> PAGEREF _Toc104562396 \h </w:instrText>
            </w:r>
            <w:r w:rsidR="00EA3313" w:rsidRPr="003C4DE9">
              <w:rPr>
                <w:noProof/>
                <w:webHidden/>
              </w:rPr>
            </w:r>
            <w:r w:rsidR="00EA3313" w:rsidRPr="003C4DE9">
              <w:rPr>
                <w:noProof/>
                <w:webHidden/>
              </w:rPr>
              <w:fldChar w:fldCharType="separate"/>
            </w:r>
            <w:r w:rsidR="00EA3313" w:rsidRPr="003C4DE9">
              <w:rPr>
                <w:noProof/>
                <w:webHidden/>
              </w:rPr>
              <w:t>4</w:t>
            </w:r>
            <w:r w:rsidR="00EA3313" w:rsidRPr="003C4DE9">
              <w:rPr>
                <w:noProof/>
                <w:webHidden/>
              </w:rPr>
              <w:fldChar w:fldCharType="end"/>
            </w:r>
          </w:hyperlink>
        </w:p>
        <w:p w14:paraId="494DE0AA" w14:textId="6C8944C7" w:rsidR="00EA3313" w:rsidRDefault="00297F85">
          <w:pPr>
            <w:pStyle w:val="TOC1"/>
            <w:tabs>
              <w:tab w:val="right" w:leader="dot" w:pos="9016"/>
            </w:tabs>
            <w:rPr>
              <w:noProof/>
              <w:lang w:eastAsia="en-NZ"/>
            </w:rPr>
          </w:pPr>
          <w:hyperlink w:anchor="_Toc104562397" w:history="1">
            <w:r w:rsidR="00EA3313" w:rsidRPr="003A64AB">
              <w:rPr>
                <w:rStyle w:val="Hyperlink"/>
                <w:b/>
                <w:bCs/>
                <w:noProof/>
              </w:rPr>
              <w:t>Framework for NEAC decision making and prioritisation</w:t>
            </w:r>
            <w:r w:rsidR="00EA3313">
              <w:rPr>
                <w:noProof/>
                <w:webHidden/>
              </w:rPr>
              <w:tab/>
            </w:r>
            <w:r w:rsidR="00EA3313">
              <w:rPr>
                <w:noProof/>
                <w:webHidden/>
              </w:rPr>
              <w:fldChar w:fldCharType="begin"/>
            </w:r>
            <w:r w:rsidR="00EA3313">
              <w:rPr>
                <w:noProof/>
                <w:webHidden/>
              </w:rPr>
              <w:instrText xml:space="preserve"> PAGEREF _Toc104562397 \h </w:instrText>
            </w:r>
            <w:r w:rsidR="00EA3313">
              <w:rPr>
                <w:noProof/>
                <w:webHidden/>
              </w:rPr>
            </w:r>
            <w:r w:rsidR="00EA3313">
              <w:rPr>
                <w:noProof/>
                <w:webHidden/>
              </w:rPr>
              <w:fldChar w:fldCharType="separate"/>
            </w:r>
            <w:r w:rsidR="00EA3313">
              <w:rPr>
                <w:noProof/>
                <w:webHidden/>
              </w:rPr>
              <w:t>4</w:t>
            </w:r>
            <w:r w:rsidR="00EA3313">
              <w:rPr>
                <w:noProof/>
                <w:webHidden/>
              </w:rPr>
              <w:fldChar w:fldCharType="end"/>
            </w:r>
          </w:hyperlink>
        </w:p>
        <w:p w14:paraId="4BB0C415" w14:textId="26FE279E" w:rsidR="00EA3313" w:rsidRDefault="00297F85">
          <w:pPr>
            <w:pStyle w:val="TOC2"/>
            <w:tabs>
              <w:tab w:val="right" w:leader="dot" w:pos="9016"/>
            </w:tabs>
            <w:rPr>
              <w:noProof/>
              <w:lang w:eastAsia="en-NZ"/>
            </w:rPr>
          </w:pPr>
          <w:hyperlink w:anchor="_Toc104562398" w:history="1">
            <w:r w:rsidR="00EA3313" w:rsidRPr="003A64AB">
              <w:rPr>
                <w:rStyle w:val="Hyperlink"/>
                <w:b/>
                <w:bCs/>
                <w:noProof/>
              </w:rPr>
              <w:t>Actions</w:t>
            </w:r>
            <w:r w:rsidR="00EA3313">
              <w:rPr>
                <w:noProof/>
                <w:webHidden/>
              </w:rPr>
              <w:tab/>
            </w:r>
            <w:r w:rsidR="00EA3313">
              <w:rPr>
                <w:noProof/>
                <w:webHidden/>
              </w:rPr>
              <w:fldChar w:fldCharType="begin"/>
            </w:r>
            <w:r w:rsidR="00EA3313">
              <w:rPr>
                <w:noProof/>
                <w:webHidden/>
              </w:rPr>
              <w:instrText xml:space="preserve"> PAGEREF _Toc104562398 \h </w:instrText>
            </w:r>
            <w:r w:rsidR="00EA3313">
              <w:rPr>
                <w:noProof/>
                <w:webHidden/>
              </w:rPr>
            </w:r>
            <w:r w:rsidR="00EA3313">
              <w:rPr>
                <w:noProof/>
                <w:webHidden/>
              </w:rPr>
              <w:fldChar w:fldCharType="separate"/>
            </w:r>
            <w:r w:rsidR="00EA3313">
              <w:rPr>
                <w:noProof/>
                <w:webHidden/>
              </w:rPr>
              <w:t>6</w:t>
            </w:r>
            <w:r w:rsidR="00EA3313">
              <w:rPr>
                <w:noProof/>
                <w:webHidden/>
              </w:rPr>
              <w:fldChar w:fldCharType="end"/>
            </w:r>
          </w:hyperlink>
        </w:p>
        <w:p w14:paraId="575F3544" w14:textId="234F78D5" w:rsidR="00EA3313" w:rsidRPr="00A22C6F" w:rsidRDefault="00297F85">
          <w:pPr>
            <w:pStyle w:val="TOC1"/>
            <w:tabs>
              <w:tab w:val="right" w:leader="dot" w:pos="9016"/>
            </w:tabs>
            <w:rPr>
              <w:noProof/>
              <w:lang w:eastAsia="en-NZ"/>
            </w:rPr>
          </w:pPr>
          <w:hyperlink w:anchor="_Toc104562399" w:history="1">
            <w:r w:rsidR="00EA3313" w:rsidRPr="00A22C6F">
              <w:rPr>
                <w:rStyle w:val="Hyperlink"/>
                <w:b/>
                <w:bCs/>
                <w:noProof/>
              </w:rPr>
              <w:t>Draft Ethical Guidelines for a Pandemic</w:t>
            </w:r>
            <w:r w:rsidR="00EA3313" w:rsidRPr="00A22C6F">
              <w:rPr>
                <w:noProof/>
                <w:webHidden/>
              </w:rPr>
              <w:tab/>
            </w:r>
            <w:r w:rsidR="00EA3313" w:rsidRPr="00A22C6F">
              <w:rPr>
                <w:noProof/>
                <w:webHidden/>
              </w:rPr>
              <w:fldChar w:fldCharType="begin"/>
            </w:r>
            <w:r w:rsidR="00EA3313" w:rsidRPr="00A22C6F">
              <w:rPr>
                <w:noProof/>
                <w:webHidden/>
              </w:rPr>
              <w:instrText xml:space="preserve"> PAGEREF _Toc104562399 \h </w:instrText>
            </w:r>
            <w:r w:rsidR="00EA3313" w:rsidRPr="00A22C6F">
              <w:rPr>
                <w:noProof/>
                <w:webHidden/>
              </w:rPr>
            </w:r>
            <w:r w:rsidR="00EA3313" w:rsidRPr="00A22C6F">
              <w:rPr>
                <w:noProof/>
                <w:webHidden/>
              </w:rPr>
              <w:fldChar w:fldCharType="separate"/>
            </w:r>
            <w:r w:rsidR="00EA3313" w:rsidRPr="00A22C6F">
              <w:rPr>
                <w:noProof/>
                <w:webHidden/>
              </w:rPr>
              <w:t>6</w:t>
            </w:r>
            <w:r w:rsidR="00EA3313" w:rsidRPr="00A22C6F">
              <w:rPr>
                <w:noProof/>
                <w:webHidden/>
              </w:rPr>
              <w:fldChar w:fldCharType="end"/>
            </w:r>
          </w:hyperlink>
        </w:p>
        <w:p w14:paraId="7A8B5129" w14:textId="4D37E931" w:rsidR="00EA3313" w:rsidRDefault="00297F85">
          <w:pPr>
            <w:pStyle w:val="TOC2"/>
            <w:tabs>
              <w:tab w:val="right" w:leader="dot" w:pos="9016"/>
            </w:tabs>
            <w:rPr>
              <w:noProof/>
              <w:lang w:eastAsia="en-NZ"/>
            </w:rPr>
          </w:pPr>
          <w:hyperlink w:anchor="_Toc104562400" w:history="1">
            <w:r w:rsidR="00EA3313" w:rsidRPr="00A22C6F">
              <w:rPr>
                <w:rStyle w:val="Hyperlink"/>
                <w:b/>
                <w:bCs/>
                <w:noProof/>
              </w:rPr>
              <w:t>Actions</w:t>
            </w:r>
            <w:r w:rsidR="00EA3313" w:rsidRPr="00A22C6F">
              <w:rPr>
                <w:noProof/>
                <w:webHidden/>
              </w:rPr>
              <w:tab/>
            </w:r>
            <w:r w:rsidR="00EA3313" w:rsidRPr="00A22C6F">
              <w:rPr>
                <w:noProof/>
                <w:webHidden/>
              </w:rPr>
              <w:fldChar w:fldCharType="begin"/>
            </w:r>
            <w:r w:rsidR="00EA3313" w:rsidRPr="00A22C6F">
              <w:rPr>
                <w:noProof/>
                <w:webHidden/>
              </w:rPr>
              <w:instrText xml:space="preserve"> PAGEREF _Toc104562400 \h </w:instrText>
            </w:r>
            <w:r w:rsidR="00EA3313" w:rsidRPr="00A22C6F">
              <w:rPr>
                <w:noProof/>
                <w:webHidden/>
              </w:rPr>
            </w:r>
            <w:r w:rsidR="00EA3313" w:rsidRPr="00A22C6F">
              <w:rPr>
                <w:noProof/>
                <w:webHidden/>
              </w:rPr>
              <w:fldChar w:fldCharType="separate"/>
            </w:r>
            <w:r w:rsidR="00EA3313" w:rsidRPr="00A22C6F">
              <w:rPr>
                <w:noProof/>
                <w:webHidden/>
              </w:rPr>
              <w:t>6</w:t>
            </w:r>
            <w:r w:rsidR="00EA3313" w:rsidRPr="00A22C6F">
              <w:rPr>
                <w:noProof/>
                <w:webHidden/>
              </w:rPr>
              <w:fldChar w:fldCharType="end"/>
            </w:r>
          </w:hyperlink>
        </w:p>
        <w:p w14:paraId="4DB57B78" w14:textId="7753A3CD" w:rsidR="00EA3313" w:rsidRDefault="00297F85">
          <w:pPr>
            <w:pStyle w:val="TOC1"/>
            <w:tabs>
              <w:tab w:val="right" w:leader="dot" w:pos="9016"/>
            </w:tabs>
            <w:rPr>
              <w:noProof/>
              <w:lang w:eastAsia="en-NZ"/>
            </w:rPr>
          </w:pPr>
          <w:hyperlink w:anchor="_Toc104562401" w:history="1">
            <w:r w:rsidR="00EA3313" w:rsidRPr="003A64AB">
              <w:rPr>
                <w:rStyle w:val="Hyperlink"/>
                <w:b/>
                <w:bCs/>
                <w:noProof/>
              </w:rPr>
              <w:t>Update from Chair of the Southern Health and Disability Ethics Committee</w:t>
            </w:r>
            <w:r w:rsidR="00EA3313">
              <w:rPr>
                <w:noProof/>
                <w:webHidden/>
              </w:rPr>
              <w:tab/>
            </w:r>
            <w:r w:rsidR="00EA3313">
              <w:rPr>
                <w:noProof/>
                <w:webHidden/>
              </w:rPr>
              <w:fldChar w:fldCharType="begin"/>
            </w:r>
            <w:r w:rsidR="00EA3313">
              <w:rPr>
                <w:noProof/>
                <w:webHidden/>
              </w:rPr>
              <w:instrText xml:space="preserve"> PAGEREF _Toc104562401 \h </w:instrText>
            </w:r>
            <w:r w:rsidR="00EA3313">
              <w:rPr>
                <w:noProof/>
                <w:webHidden/>
              </w:rPr>
            </w:r>
            <w:r w:rsidR="00EA3313">
              <w:rPr>
                <w:noProof/>
                <w:webHidden/>
              </w:rPr>
              <w:fldChar w:fldCharType="separate"/>
            </w:r>
            <w:r w:rsidR="00EA3313">
              <w:rPr>
                <w:noProof/>
                <w:webHidden/>
              </w:rPr>
              <w:t>6</w:t>
            </w:r>
            <w:r w:rsidR="00EA3313">
              <w:rPr>
                <w:noProof/>
                <w:webHidden/>
              </w:rPr>
              <w:fldChar w:fldCharType="end"/>
            </w:r>
          </w:hyperlink>
        </w:p>
        <w:p w14:paraId="4CD9AC65" w14:textId="7174837A" w:rsidR="00EA3313" w:rsidRDefault="00297F85">
          <w:pPr>
            <w:pStyle w:val="TOC1"/>
            <w:tabs>
              <w:tab w:val="right" w:leader="dot" w:pos="9016"/>
            </w:tabs>
            <w:rPr>
              <w:noProof/>
              <w:lang w:eastAsia="en-NZ"/>
            </w:rPr>
          </w:pPr>
          <w:hyperlink w:anchor="_Toc104562403" w:history="1">
            <w:r w:rsidR="00EA3313" w:rsidRPr="003A64AB">
              <w:rPr>
                <w:rStyle w:val="Hyperlink"/>
                <w:b/>
                <w:bCs/>
                <w:noProof/>
              </w:rPr>
              <w:t>Correspondence</w:t>
            </w:r>
            <w:r w:rsidR="00EA3313">
              <w:rPr>
                <w:noProof/>
                <w:webHidden/>
              </w:rPr>
              <w:tab/>
            </w:r>
            <w:r w:rsidR="00EA3313">
              <w:rPr>
                <w:noProof/>
                <w:webHidden/>
              </w:rPr>
              <w:fldChar w:fldCharType="begin"/>
            </w:r>
            <w:r w:rsidR="00EA3313">
              <w:rPr>
                <w:noProof/>
                <w:webHidden/>
              </w:rPr>
              <w:instrText xml:space="preserve"> PAGEREF _Toc104562403 \h </w:instrText>
            </w:r>
            <w:r w:rsidR="00EA3313">
              <w:rPr>
                <w:noProof/>
                <w:webHidden/>
              </w:rPr>
            </w:r>
            <w:r w:rsidR="00EA3313">
              <w:rPr>
                <w:noProof/>
                <w:webHidden/>
              </w:rPr>
              <w:fldChar w:fldCharType="separate"/>
            </w:r>
            <w:r w:rsidR="00EA3313">
              <w:rPr>
                <w:noProof/>
                <w:webHidden/>
              </w:rPr>
              <w:t>8</w:t>
            </w:r>
            <w:r w:rsidR="00EA3313">
              <w:rPr>
                <w:noProof/>
                <w:webHidden/>
              </w:rPr>
              <w:fldChar w:fldCharType="end"/>
            </w:r>
          </w:hyperlink>
        </w:p>
        <w:p w14:paraId="55B76ABE" w14:textId="7B224F22" w:rsidR="00EA3313" w:rsidRDefault="00297F85">
          <w:pPr>
            <w:pStyle w:val="TOC2"/>
            <w:tabs>
              <w:tab w:val="right" w:leader="dot" w:pos="9016"/>
            </w:tabs>
            <w:rPr>
              <w:noProof/>
              <w:lang w:eastAsia="en-NZ"/>
            </w:rPr>
          </w:pPr>
          <w:hyperlink w:anchor="_Toc104562404" w:history="1">
            <w:r w:rsidR="00EA3313" w:rsidRPr="003A64AB">
              <w:rPr>
                <w:rStyle w:val="Hyperlink"/>
                <w:b/>
                <w:bCs/>
                <w:noProof/>
              </w:rPr>
              <w:t>Exclusion of access to ACC for participants in commercially sponsored clinical trials</w:t>
            </w:r>
            <w:r w:rsidR="00EA3313">
              <w:rPr>
                <w:noProof/>
                <w:webHidden/>
              </w:rPr>
              <w:tab/>
            </w:r>
            <w:r w:rsidR="00EA3313">
              <w:rPr>
                <w:noProof/>
                <w:webHidden/>
              </w:rPr>
              <w:fldChar w:fldCharType="begin"/>
            </w:r>
            <w:r w:rsidR="00EA3313">
              <w:rPr>
                <w:noProof/>
                <w:webHidden/>
              </w:rPr>
              <w:instrText xml:space="preserve"> PAGEREF _Toc104562404 \h </w:instrText>
            </w:r>
            <w:r w:rsidR="00EA3313">
              <w:rPr>
                <w:noProof/>
                <w:webHidden/>
              </w:rPr>
            </w:r>
            <w:r w:rsidR="00EA3313">
              <w:rPr>
                <w:noProof/>
                <w:webHidden/>
              </w:rPr>
              <w:fldChar w:fldCharType="separate"/>
            </w:r>
            <w:r w:rsidR="00EA3313">
              <w:rPr>
                <w:noProof/>
                <w:webHidden/>
              </w:rPr>
              <w:t>8</w:t>
            </w:r>
            <w:r w:rsidR="00EA3313">
              <w:rPr>
                <w:noProof/>
                <w:webHidden/>
              </w:rPr>
              <w:fldChar w:fldCharType="end"/>
            </w:r>
          </w:hyperlink>
        </w:p>
        <w:p w14:paraId="7886E2DF" w14:textId="10771071" w:rsidR="00EA3313" w:rsidRDefault="00297F85">
          <w:pPr>
            <w:pStyle w:val="TOC2"/>
            <w:tabs>
              <w:tab w:val="right" w:leader="dot" w:pos="9016"/>
            </w:tabs>
            <w:rPr>
              <w:noProof/>
              <w:lang w:eastAsia="en-NZ"/>
            </w:rPr>
          </w:pPr>
          <w:hyperlink w:anchor="_Toc104562405" w:history="1">
            <w:r w:rsidR="00EA3313" w:rsidRPr="003A64AB">
              <w:rPr>
                <w:rStyle w:val="Hyperlink"/>
                <w:b/>
                <w:bCs/>
                <w:noProof/>
              </w:rPr>
              <w:t>Actions</w:t>
            </w:r>
            <w:r w:rsidR="00EA3313">
              <w:rPr>
                <w:noProof/>
                <w:webHidden/>
              </w:rPr>
              <w:tab/>
            </w:r>
            <w:r w:rsidR="00EA3313">
              <w:rPr>
                <w:noProof/>
                <w:webHidden/>
              </w:rPr>
              <w:fldChar w:fldCharType="begin"/>
            </w:r>
            <w:r w:rsidR="00EA3313">
              <w:rPr>
                <w:noProof/>
                <w:webHidden/>
              </w:rPr>
              <w:instrText xml:space="preserve"> PAGEREF _Toc104562405 \h </w:instrText>
            </w:r>
            <w:r w:rsidR="00EA3313">
              <w:rPr>
                <w:noProof/>
                <w:webHidden/>
              </w:rPr>
            </w:r>
            <w:r w:rsidR="00EA3313">
              <w:rPr>
                <w:noProof/>
                <w:webHidden/>
              </w:rPr>
              <w:fldChar w:fldCharType="separate"/>
            </w:r>
            <w:r w:rsidR="00EA3313">
              <w:rPr>
                <w:noProof/>
                <w:webHidden/>
              </w:rPr>
              <w:t>9</w:t>
            </w:r>
            <w:r w:rsidR="00EA3313">
              <w:rPr>
                <w:noProof/>
                <w:webHidden/>
              </w:rPr>
              <w:fldChar w:fldCharType="end"/>
            </w:r>
          </w:hyperlink>
        </w:p>
        <w:p w14:paraId="69BA7BC5" w14:textId="0DB5DA9F" w:rsidR="00EA3313" w:rsidRDefault="00297F85">
          <w:pPr>
            <w:pStyle w:val="TOC1"/>
            <w:tabs>
              <w:tab w:val="right" w:leader="dot" w:pos="9016"/>
            </w:tabs>
            <w:rPr>
              <w:noProof/>
              <w:lang w:eastAsia="en-NZ"/>
            </w:rPr>
          </w:pPr>
          <w:hyperlink w:anchor="_Toc104562406" w:history="1">
            <w:r w:rsidR="00EA3313" w:rsidRPr="00A22C6F">
              <w:rPr>
                <w:rStyle w:val="Hyperlink"/>
                <w:b/>
                <w:bCs/>
                <w:noProof/>
              </w:rPr>
              <w:t>Work between meetings</w:t>
            </w:r>
            <w:r w:rsidR="00EA3313" w:rsidRPr="00A22C6F">
              <w:rPr>
                <w:noProof/>
                <w:webHidden/>
              </w:rPr>
              <w:tab/>
            </w:r>
            <w:r w:rsidR="00EA3313" w:rsidRPr="00A22C6F">
              <w:rPr>
                <w:noProof/>
                <w:webHidden/>
              </w:rPr>
              <w:fldChar w:fldCharType="begin"/>
            </w:r>
            <w:r w:rsidR="00EA3313" w:rsidRPr="00A22C6F">
              <w:rPr>
                <w:noProof/>
                <w:webHidden/>
              </w:rPr>
              <w:instrText xml:space="preserve"> PAGEREF _Toc104562406 \h </w:instrText>
            </w:r>
            <w:r w:rsidR="00EA3313" w:rsidRPr="00A22C6F">
              <w:rPr>
                <w:noProof/>
                <w:webHidden/>
              </w:rPr>
            </w:r>
            <w:r w:rsidR="00EA3313" w:rsidRPr="00A22C6F">
              <w:rPr>
                <w:noProof/>
                <w:webHidden/>
              </w:rPr>
              <w:fldChar w:fldCharType="separate"/>
            </w:r>
            <w:r w:rsidR="00EA3313" w:rsidRPr="00A22C6F">
              <w:rPr>
                <w:noProof/>
                <w:webHidden/>
              </w:rPr>
              <w:t>9</w:t>
            </w:r>
            <w:r w:rsidR="00EA3313" w:rsidRPr="00A22C6F">
              <w:rPr>
                <w:noProof/>
                <w:webHidden/>
              </w:rPr>
              <w:fldChar w:fldCharType="end"/>
            </w:r>
          </w:hyperlink>
        </w:p>
        <w:p w14:paraId="1B1441FF" w14:textId="322B3106" w:rsidR="0090056F" w:rsidRDefault="007C77C8" w:rsidP="0090056F">
          <w:pPr>
            <w:rPr>
              <w:b/>
              <w:bCs/>
              <w:noProof/>
            </w:rPr>
          </w:pPr>
          <w:r w:rsidRPr="0090056F">
            <w:rPr>
              <w:b/>
              <w:bCs/>
              <w:noProof/>
            </w:rPr>
            <w:fldChar w:fldCharType="end"/>
          </w:r>
        </w:p>
      </w:sdtContent>
    </w:sdt>
    <w:p w14:paraId="3764FA11" w14:textId="4DD7BEDD" w:rsidR="001E2C6F" w:rsidRDefault="001E2C6F" w:rsidP="0090056F">
      <w:pPr>
        <w:rPr>
          <w:b/>
          <w:bCs/>
          <w:color w:val="324F5C"/>
          <w:sz w:val="28"/>
          <w:szCs w:val="28"/>
        </w:rPr>
      </w:pPr>
    </w:p>
    <w:p w14:paraId="68C21114" w14:textId="78162293" w:rsidR="00A22C6F" w:rsidRDefault="00A22C6F" w:rsidP="0090056F">
      <w:pPr>
        <w:rPr>
          <w:b/>
          <w:bCs/>
          <w:color w:val="324F5C"/>
          <w:sz w:val="28"/>
          <w:szCs w:val="28"/>
        </w:rPr>
      </w:pPr>
    </w:p>
    <w:p w14:paraId="04395A57" w14:textId="77777777" w:rsidR="00A22C6F" w:rsidRDefault="00A22C6F" w:rsidP="0090056F">
      <w:pPr>
        <w:rPr>
          <w:b/>
          <w:bCs/>
          <w:color w:val="324F5C"/>
          <w:sz w:val="28"/>
          <w:szCs w:val="28"/>
        </w:rPr>
      </w:pPr>
    </w:p>
    <w:p w14:paraId="45B5A6C1" w14:textId="77777777" w:rsidR="003C4DE9" w:rsidRDefault="003C4DE9" w:rsidP="0090056F">
      <w:pPr>
        <w:rPr>
          <w:b/>
          <w:bCs/>
          <w:color w:val="324F5C"/>
          <w:sz w:val="28"/>
          <w:szCs w:val="28"/>
        </w:rPr>
      </w:pPr>
    </w:p>
    <w:p w14:paraId="3F589345" w14:textId="52EF69AB" w:rsidR="00D91C65" w:rsidRPr="0090056F" w:rsidRDefault="00D91C65" w:rsidP="0090056F">
      <w:r w:rsidRPr="0090056F">
        <w:rPr>
          <w:b/>
          <w:bCs/>
          <w:color w:val="324F5C"/>
          <w:sz w:val="28"/>
          <w:szCs w:val="28"/>
        </w:rPr>
        <w:lastRenderedPageBreak/>
        <w:t>Attendees</w:t>
      </w:r>
    </w:p>
    <w:p w14:paraId="638E5DC2" w14:textId="4C4A071A" w:rsidR="00D91C65" w:rsidRPr="00867056" w:rsidRDefault="00D91C65" w:rsidP="00A977AA">
      <w:pPr>
        <w:spacing w:before="60" w:after="60"/>
        <w:ind w:left="2160" w:hanging="2160"/>
        <w:rPr>
          <w:bCs/>
        </w:rPr>
      </w:pPr>
      <w:r w:rsidRPr="00867056">
        <w:rPr>
          <w:b/>
          <w:bCs/>
        </w:rPr>
        <w:t>NEAC members:</w:t>
      </w:r>
      <w:r w:rsidRPr="00867056">
        <w:t xml:space="preserve"> </w:t>
      </w:r>
      <w:r w:rsidRPr="00867056">
        <w:tab/>
      </w:r>
      <w:r w:rsidR="00604CA9">
        <w:t xml:space="preserve">Professor </w:t>
      </w:r>
      <w:r w:rsidRPr="00867056">
        <w:rPr>
          <w:bCs/>
        </w:rPr>
        <w:t xml:space="preserve">John McMillan (Chair), </w:t>
      </w:r>
      <w:r w:rsidR="00A977AA">
        <w:rPr>
          <w:bCs/>
        </w:rPr>
        <w:t xml:space="preserve">Shannon Hanrahan, </w:t>
      </w:r>
      <w:r w:rsidR="00B82729">
        <w:rPr>
          <w:bCs/>
        </w:rPr>
        <w:br/>
      </w:r>
      <w:r w:rsidRPr="00867056">
        <w:rPr>
          <w:bCs/>
        </w:rPr>
        <w:t xml:space="preserve">Dr Mary-Anne Woodnorth, Gordon Jackman, Dr Penny Haworth, </w:t>
      </w:r>
      <w:r w:rsidR="00B82729">
        <w:rPr>
          <w:bCs/>
        </w:rPr>
        <w:br/>
      </w:r>
      <w:r w:rsidR="00604CA9">
        <w:rPr>
          <w:bCs/>
        </w:rPr>
        <w:t>Associate Professor</w:t>
      </w:r>
      <w:r w:rsidRPr="00867056">
        <w:rPr>
          <w:bCs/>
        </w:rPr>
        <w:t xml:space="preserve"> Vanessa Jordan, </w:t>
      </w:r>
      <w:r w:rsidR="00604CA9">
        <w:rPr>
          <w:bCs/>
        </w:rPr>
        <w:t xml:space="preserve">Dr </w:t>
      </w:r>
      <w:r w:rsidRPr="00867056">
        <w:rPr>
          <w:bCs/>
        </w:rPr>
        <w:t xml:space="preserve">Lindsey MacDonald, </w:t>
      </w:r>
      <w:r w:rsidR="0016170D">
        <w:rPr>
          <w:bCs/>
        </w:rPr>
        <w:t xml:space="preserve">Rochelle Style, Edmond Carrucan, </w:t>
      </w:r>
      <w:r w:rsidR="00AF2234">
        <w:rPr>
          <w:bCs/>
        </w:rPr>
        <w:t xml:space="preserve">Dr </w:t>
      </w:r>
      <w:r w:rsidR="0016170D">
        <w:rPr>
          <w:bCs/>
        </w:rPr>
        <w:t>Hansa Patel</w:t>
      </w:r>
    </w:p>
    <w:p w14:paraId="082C2786" w14:textId="3A71FBC5" w:rsidR="00867056" w:rsidRPr="00867056" w:rsidRDefault="00867056" w:rsidP="0090056F">
      <w:pPr>
        <w:spacing w:before="60" w:after="60"/>
        <w:ind w:left="2160"/>
        <w:rPr>
          <w:bCs/>
        </w:rPr>
      </w:pPr>
    </w:p>
    <w:p w14:paraId="3629E2AE" w14:textId="2AB8BD06" w:rsidR="00867056" w:rsidRPr="00867056" w:rsidRDefault="00867056" w:rsidP="00867056">
      <w:pPr>
        <w:spacing w:before="60" w:after="60"/>
        <w:ind w:left="2160" w:hanging="2160"/>
        <w:rPr>
          <w:bCs/>
        </w:rPr>
      </w:pPr>
      <w:r w:rsidRPr="00867056">
        <w:rPr>
          <w:b/>
          <w:bCs/>
        </w:rPr>
        <w:t>Apologies:</w:t>
      </w:r>
      <w:r w:rsidRPr="00867056">
        <w:t xml:space="preserve"> </w:t>
      </w:r>
      <w:r w:rsidRPr="00867056">
        <w:tab/>
      </w:r>
      <w:r>
        <w:rPr>
          <w:bCs/>
        </w:rPr>
        <w:t>Dr Cindy Towns and Nora Parore</w:t>
      </w:r>
    </w:p>
    <w:p w14:paraId="507521E5" w14:textId="77777777" w:rsidR="0090056F" w:rsidRPr="00867056" w:rsidRDefault="0090056F" w:rsidP="00867056">
      <w:pPr>
        <w:spacing w:before="60" w:after="60"/>
        <w:rPr>
          <w:bCs/>
        </w:rPr>
      </w:pPr>
    </w:p>
    <w:p w14:paraId="03ABB890" w14:textId="3CEF95FC" w:rsidR="0090056F" w:rsidRPr="00867056" w:rsidRDefault="00D91C65" w:rsidP="00D91C65">
      <w:pPr>
        <w:spacing w:before="60" w:after="60"/>
        <w:ind w:left="2160" w:hanging="2160"/>
        <w:rPr>
          <w:bCs/>
        </w:rPr>
      </w:pPr>
      <w:r w:rsidRPr="00867056">
        <w:rPr>
          <w:b/>
        </w:rPr>
        <w:t>Guests:</w:t>
      </w:r>
      <w:r w:rsidRPr="00867056">
        <w:rPr>
          <w:bCs/>
        </w:rPr>
        <w:t xml:space="preserve"> </w:t>
      </w:r>
      <w:r w:rsidRPr="00867056">
        <w:rPr>
          <w:bCs/>
        </w:rPr>
        <w:tab/>
      </w:r>
      <w:r w:rsidR="0090056F" w:rsidRPr="00867056">
        <w:rPr>
          <w:bCs/>
        </w:rPr>
        <w:t>Manager</w:t>
      </w:r>
      <w:r w:rsidR="008764C8" w:rsidRPr="00867056">
        <w:rPr>
          <w:bCs/>
        </w:rPr>
        <w:t xml:space="preserve"> of </w:t>
      </w:r>
      <w:r w:rsidR="0090056F" w:rsidRPr="00867056">
        <w:rPr>
          <w:bCs/>
        </w:rPr>
        <w:t>Ethics, Ministry of Health</w:t>
      </w:r>
    </w:p>
    <w:p w14:paraId="0D37943C" w14:textId="6402E63E" w:rsidR="008764C8" w:rsidRPr="00867056" w:rsidRDefault="0090056F" w:rsidP="00D91C65">
      <w:pPr>
        <w:spacing w:before="60" w:after="60"/>
        <w:ind w:left="2160" w:hanging="2160"/>
        <w:rPr>
          <w:bCs/>
        </w:rPr>
      </w:pPr>
      <w:r w:rsidRPr="00867056">
        <w:rPr>
          <w:b/>
        </w:rPr>
        <w:tab/>
      </w:r>
      <w:r w:rsidRPr="00867056">
        <w:rPr>
          <w:bCs/>
        </w:rPr>
        <w:t>Ministerial Advisor</w:t>
      </w:r>
      <w:r w:rsidR="008764C8" w:rsidRPr="00867056">
        <w:rPr>
          <w:bCs/>
        </w:rPr>
        <w:t xml:space="preserve"> from the Office of the Minister of Health</w:t>
      </w:r>
    </w:p>
    <w:p w14:paraId="669D2499" w14:textId="6C53C003" w:rsidR="0090056F" w:rsidRPr="00867056" w:rsidRDefault="0090056F" w:rsidP="00D91C65">
      <w:pPr>
        <w:spacing w:before="60" w:after="60"/>
        <w:ind w:left="2160" w:hanging="2160"/>
        <w:rPr>
          <w:bCs/>
        </w:rPr>
      </w:pPr>
      <w:r w:rsidRPr="00867056">
        <w:rPr>
          <w:bCs/>
        </w:rPr>
        <w:tab/>
        <w:t>Principal Advisor, Public Health and Strategy and Advice, Ministry of Health</w:t>
      </w:r>
    </w:p>
    <w:p w14:paraId="4DED4323" w14:textId="70ABFCD2" w:rsidR="00867056" w:rsidRPr="00867056" w:rsidRDefault="0090056F" w:rsidP="00867056">
      <w:pPr>
        <w:spacing w:before="60" w:after="60"/>
        <w:ind w:left="2160" w:hanging="2160"/>
        <w:rPr>
          <w:bCs/>
        </w:rPr>
      </w:pPr>
      <w:r w:rsidRPr="00867056">
        <w:rPr>
          <w:bCs/>
        </w:rPr>
        <w:tab/>
        <w:t>Chair of the Southern Health and Disability Ethics Committee</w:t>
      </w:r>
    </w:p>
    <w:p w14:paraId="2B54165A" w14:textId="745D2BEE" w:rsidR="00D91C65" w:rsidRPr="003D6851" w:rsidRDefault="00D91C65" w:rsidP="00D91C65">
      <w:pPr>
        <w:pStyle w:val="Heading1"/>
        <w:rPr>
          <w:b/>
          <w:bCs/>
          <w:color w:val="324F5C"/>
          <w:sz w:val="28"/>
          <w:szCs w:val="28"/>
        </w:rPr>
      </w:pPr>
      <w:bookmarkStart w:id="0" w:name="_Toc104562384"/>
      <w:r w:rsidRPr="003D6851">
        <w:rPr>
          <w:b/>
          <w:bCs/>
          <w:color w:val="324F5C"/>
          <w:sz w:val="28"/>
          <w:szCs w:val="28"/>
        </w:rPr>
        <w:t>Declaration of Interests</w:t>
      </w:r>
      <w:bookmarkEnd w:id="0"/>
    </w:p>
    <w:p w14:paraId="356B2FF7" w14:textId="426FDEE4" w:rsidR="00D91C65" w:rsidRPr="003D6851" w:rsidRDefault="00D91C65" w:rsidP="00D91C65">
      <w:pPr>
        <w:pStyle w:val="ListParagraph"/>
        <w:numPr>
          <w:ilvl w:val="0"/>
          <w:numId w:val="1"/>
        </w:numPr>
      </w:pPr>
      <w:r w:rsidRPr="003D6851">
        <w:t xml:space="preserve">Members updated the Committee and Secretariat with changes to their declarations of interests. </w:t>
      </w:r>
    </w:p>
    <w:p w14:paraId="38E661BA" w14:textId="5D2AACFF" w:rsidR="00A850AF" w:rsidRPr="00A850AF" w:rsidRDefault="00A850AF" w:rsidP="00A850AF">
      <w:pPr>
        <w:pStyle w:val="Heading1"/>
        <w:rPr>
          <w:b/>
          <w:bCs/>
          <w:color w:val="324F5C"/>
          <w:sz w:val="28"/>
          <w:szCs w:val="28"/>
        </w:rPr>
      </w:pPr>
      <w:r>
        <w:rPr>
          <w:b/>
          <w:bCs/>
          <w:color w:val="324F5C"/>
          <w:sz w:val="28"/>
          <w:szCs w:val="28"/>
        </w:rPr>
        <w:t>Actions</w:t>
      </w:r>
    </w:p>
    <w:p w14:paraId="58C6B2D5" w14:textId="062AF42F" w:rsidR="00174643" w:rsidRPr="003D6851" w:rsidRDefault="00174643" w:rsidP="00A850AF">
      <w:pPr>
        <w:pStyle w:val="ListParagraph"/>
        <w:numPr>
          <w:ilvl w:val="0"/>
          <w:numId w:val="27"/>
        </w:numPr>
      </w:pPr>
      <w:r w:rsidRPr="003D6851">
        <w:t xml:space="preserve">Secretariat to update members’ recorded declarations of interests. </w:t>
      </w:r>
    </w:p>
    <w:p w14:paraId="4202FB41" w14:textId="317CC9D5" w:rsidR="00174643" w:rsidRPr="0090056F" w:rsidRDefault="00174643" w:rsidP="00174643">
      <w:pPr>
        <w:pStyle w:val="Heading1"/>
        <w:rPr>
          <w:b/>
          <w:bCs/>
          <w:color w:val="324F5C"/>
          <w:sz w:val="28"/>
          <w:szCs w:val="28"/>
        </w:rPr>
      </w:pPr>
      <w:bookmarkStart w:id="1" w:name="_Toc104562385"/>
      <w:r w:rsidRPr="003D6851">
        <w:rPr>
          <w:b/>
          <w:bCs/>
          <w:color w:val="324F5C"/>
          <w:sz w:val="28"/>
          <w:szCs w:val="28"/>
        </w:rPr>
        <w:t>Chair’s update</w:t>
      </w:r>
      <w:bookmarkEnd w:id="1"/>
    </w:p>
    <w:p w14:paraId="6D318728" w14:textId="4D459573" w:rsidR="003C588B" w:rsidRPr="003C588B" w:rsidRDefault="00174643" w:rsidP="00F36214">
      <w:pPr>
        <w:pStyle w:val="ListParagraph"/>
        <w:numPr>
          <w:ilvl w:val="0"/>
          <w:numId w:val="1"/>
        </w:numPr>
      </w:pPr>
      <w:r w:rsidRPr="003C588B">
        <w:t xml:space="preserve">The </w:t>
      </w:r>
      <w:r w:rsidR="00721312" w:rsidRPr="003C588B">
        <w:t>Ch</w:t>
      </w:r>
      <w:r w:rsidRPr="003C588B">
        <w:t xml:space="preserve">air </w:t>
      </w:r>
      <w:r w:rsidR="003C588B" w:rsidRPr="003C588B">
        <w:t>raised that the C</w:t>
      </w:r>
      <w:r w:rsidR="008858FD">
        <w:t>OVID</w:t>
      </w:r>
      <w:r w:rsidR="003C588B" w:rsidRPr="003C588B">
        <w:t>-19 regulations in NZ would allow for NEAC to meet in person. After discussion with the Committee, 22 September</w:t>
      </w:r>
      <w:r w:rsidR="008858FD">
        <w:t xml:space="preserve"> was set as a tentative date for a</w:t>
      </w:r>
      <w:r w:rsidR="003C588B" w:rsidRPr="003C588B">
        <w:t xml:space="preserve"> meeting to be held in person.  </w:t>
      </w:r>
    </w:p>
    <w:p w14:paraId="74B6FB54" w14:textId="204E0EC2" w:rsidR="004E3CD4" w:rsidRDefault="003C588B" w:rsidP="00330069">
      <w:pPr>
        <w:pStyle w:val="ListParagraph"/>
        <w:numPr>
          <w:ilvl w:val="0"/>
          <w:numId w:val="1"/>
        </w:numPr>
      </w:pPr>
      <w:r w:rsidRPr="003C588B">
        <w:t>The Chair noted that they will be taking a</w:t>
      </w:r>
      <w:r w:rsidR="00330069">
        <w:t xml:space="preserve"> 3-month</w:t>
      </w:r>
      <w:r w:rsidRPr="003C588B">
        <w:t xml:space="preserve"> overseas professorship </w:t>
      </w:r>
      <w:r w:rsidR="00330069">
        <w:t xml:space="preserve">and will not be available for NEAC meetings during this time. </w:t>
      </w:r>
      <w:r w:rsidR="00196F2D">
        <w:t>He</w:t>
      </w:r>
      <w:r w:rsidR="00330069">
        <w:t xml:space="preserve"> r</w:t>
      </w:r>
      <w:r w:rsidR="00196F2D">
        <w:t>aised that</w:t>
      </w:r>
      <w:r w:rsidR="00330069">
        <w:t xml:space="preserve"> </w:t>
      </w:r>
      <w:r w:rsidR="00215210">
        <w:t xml:space="preserve">he </w:t>
      </w:r>
      <w:r w:rsidR="00330069">
        <w:t xml:space="preserve">would like to </w:t>
      </w:r>
      <w:r w:rsidR="00196F2D">
        <w:t>appoint</w:t>
      </w:r>
      <w:r w:rsidR="00330069">
        <w:t xml:space="preserve"> a</w:t>
      </w:r>
      <w:r w:rsidR="008B3FA4">
        <w:t xml:space="preserve"> </w:t>
      </w:r>
      <w:r w:rsidR="008858FD">
        <w:t>D</w:t>
      </w:r>
      <w:r w:rsidR="00330069">
        <w:t>eputy</w:t>
      </w:r>
      <w:r w:rsidR="008858FD">
        <w:t xml:space="preserve"> C</w:t>
      </w:r>
      <w:r w:rsidR="00330069">
        <w:t xml:space="preserve">hair to act on </w:t>
      </w:r>
      <w:r w:rsidR="00196F2D">
        <w:t>his</w:t>
      </w:r>
      <w:r w:rsidR="00330069">
        <w:t xml:space="preserve"> behalf, noting the process outlined in the Terms of Reference (TOR) which will involve the Chair writing to the</w:t>
      </w:r>
      <w:r w:rsidR="0082111A">
        <w:t xml:space="preserve"> Associate</w:t>
      </w:r>
      <w:r w:rsidR="00330069">
        <w:t xml:space="preserve"> Minister of Health for approval. </w:t>
      </w:r>
      <w:r w:rsidR="004E3CD4">
        <w:t xml:space="preserve">The Chair confirmed that discussions with a member of NEAC had begun on appointing them as Deputy Chair. </w:t>
      </w:r>
    </w:p>
    <w:p w14:paraId="1B91AC93" w14:textId="640A397A" w:rsidR="004E3CD4" w:rsidRPr="00F95E39" w:rsidRDefault="00215210" w:rsidP="00F95E39">
      <w:pPr>
        <w:pStyle w:val="ListParagraph"/>
        <w:numPr>
          <w:ilvl w:val="0"/>
          <w:numId w:val="1"/>
        </w:numPr>
      </w:pPr>
      <w:r>
        <w:t>It was noted</w:t>
      </w:r>
      <w:r w:rsidR="00963488">
        <w:t xml:space="preserve"> that the </w:t>
      </w:r>
      <w:r w:rsidR="00963488" w:rsidRPr="00963488">
        <w:t>Advisory Committee on Assisted Reproductive Technology</w:t>
      </w:r>
      <w:r w:rsidR="00963488">
        <w:t xml:space="preserve"> (ACART) had recently appointed a M</w:t>
      </w:r>
      <w:r w:rsidR="00963488">
        <w:rPr>
          <w:lang w:val="mi-NZ"/>
        </w:rPr>
        <w:t xml:space="preserve">āori </w:t>
      </w:r>
      <w:r w:rsidR="00963488">
        <w:t xml:space="preserve">deputy Chair and </w:t>
      </w:r>
      <w:r>
        <w:t>updated their</w:t>
      </w:r>
      <w:r w:rsidR="004E3CD4">
        <w:t xml:space="preserve"> TOR </w:t>
      </w:r>
      <w:r>
        <w:t>to</w:t>
      </w:r>
      <w:r w:rsidR="004E3CD4">
        <w:t xml:space="preserve"> ensure that either the Chair or deputy Chair </w:t>
      </w:r>
      <w:r w:rsidR="00D95E2A">
        <w:t>is</w:t>
      </w:r>
      <w:r w:rsidR="004E3CD4">
        <w:t xml:space="preserve"> M</w:t>
      </w:r>
      <w:r w:rsidR="004E3CD4">
        <w:rPr>
          <w:lang w:val="mi-NZ"/>
        </w:rPr>
        <w:t>āori</w:t>
      </w:r>
      <w:r>
        <w:rPr>
          <w:lang w:val="mi-NZ"/>
        </w:rPr>
        <w:t>, and that NEAC is exploring a similar approach.</w:t>
      </w:r>
      <w:r w:rsidR="008858FD">
        <w:rPr>
          <w:lang w:val="mi-NZ"/>
        </w:rPr>
        <w:t xml:space="preserve"> A co-Chairing arrangement was also suggested.</w:t>
      </w:r>
      <w:r w:rsidR="004E3CD4">
        <w:rPr>
          <w:lang w:val="mi-NZ"/>
        </w:rPr>
        <w:t xml:space="preserve"> The Chair </w:t>
      </w:r>
      <w:r w:rsidR="004E3CD4">
        <w:t>agreed and noted that this would need further discussion among the M</w:t>
      </w:r>
      <w:r w:rsidR="004E3CD4">
        <w:rPr>
          <w:lang w:val="mi-NZ"/>
        </w:rPr>
        <w:t xml:space="preserve">āori representatives of NEAC. </w:t>
      </w:r>
      <w:r w:rsidR="00154157" w:rsidRPr="00F95E39">
        <w:rPr>
          <w:highlight w:val="yellow"/>
          <w:lang w:val="mi-NZ"/>
        </w:rPr>
        <w:t xml:space="preserve"> </w:t>
      </w:r>
    </w:p>
    <w:p w14:paraId="71CDB41B" w14:textId="3B8529F8" w:rsidR="00154157" w:rsidRDefault="00154157" w:rsidP="00154157">
      <w:pPr>
        <w:pStyle w:val="ListParagraph"/>
        <w:numPr>
          <w:ilvl w:val="0"/>
          <w:numId w:val="1"/>
        </w:numPr>
      </w:pPr>
      <w:r>
        <w:t>The Chair raised that there are currently two working sub-groups on issues relating to NEAC and raised that newer members of NEAC are welcome to express interest and become involved. The Chair pointed specifically to the work around the Health Information Privacy Code 2020.</w:t>
      </w:r>
    </w:p>
    <w:p w14:paraId="7EA7DB24" w14:textId="596AC0A1" w:rsidR="00AE7CB3" w:rsidRDefault="00AE7CB3" w:rsidP="00154157">
      <w:pPr>
        <w:pStyle w:val="ListParagraph"/>
        <w:numPr>
          <w:ilvl w:val="0"/>
          <w:numId w:val="1"/>
        </w:numPr>
      </w:pPr>
      <w:r>
        <w:t xml:space="preserve">The Chair noted the TOR guidelines regarding confidentiality and discussing NEAC business outside of the Committee meetings.  </w:t>
      </w:r>
      <w:r w:rsidR="00467AEA">
        <w:t xml:space="preserve">They particularly pointed to the ‘General meeting discussions’ section of the TOR, as found on the </w:t>
      </w:r>
      <w:hyperlink r:id="rId9" w:anchor="confidentiality" w:history="1">
        <w:r w:rsidR="00467AEA" w:rsidRPr="00467AEA">
          <w:rPr>
            <w:rStyle w:val="Hyperlink"/>
          </w:rPr>
          <w:t>HDEC website.</w:t>
        </w:r>
      </w:hyperlink>
      <w:r w:rsidR="00467AEA">
        <w:t xml:space="preserve"> </w:t>
      </w:r>
    </w:p>
    <w:p w14:paraId="2741A1D4" w14:textId="77777777" w:rsidR="00F36214" w:rsidRPr="0090056F" w:rsidRDefault="00F36214" w:rsidP="00F36214">
      <w:pPr>
        <w:pStyle w:val="Heading2"/>
        <w:rPr>
          <w:b/>
          <w:bCs/>
          <w:color w:val="324F5C"/>
        </w:rPr>
      </w:pPr>
      <w:r w:rsidRPr="003B1CCC">
        <w:rPr>
          <w:b/>
          <w:bCs/>
          <w:color w:val="324F5C"/>
        </w:rPr>
        <w:t>Actions</w:t>
      </w:r>
    </w:p>
    <w:p w14:paraId="75864281" w14:textId="4AEFC384" w:rsidR="00F36214" w:rsidRDefault="00F36214" w:rsidP="00F36214">
      <w:pPr>
        <w:pStyle w:val="ListParagraph"/>
        <w:numPr>
          <w:ilvl w:val="0"/>
          <w:numId w:val="25"/>
        </w:numPr>
      </w:pPr>
      <w:r>
        <w:t>The Secretariat will begin looking into travel logistics for a NEAC in-person meeting on 22 September 2022.</w:t>
      </w:r>
    </w:p>
    <w:p w14:paraId="73BF51F9" w14:textId="0B233EC6" w:rsidR="00F36214" w:rsidRDefault="00F36214" w:rsidP="00F36214">
      <w:pPr>
        <w:pStyle w:val="ListParagraph"/>
        <w:numPr>
          <w:ilvl w:val="0"/>
          <w:numId w:val="25"/>
        </w:numPr>
      </w:pPr>
      <w:r>
        <w:t>NEAC members will discuss an interi</w:t>
      </w:r>
      <w:r w:rsidR="00304557">
        <w:t xml:space="preserve">m </w:t>
      </w:r>
      <w:r w:rsidR="004970A4">
        <w:t>D</w:t>
      </w:r>
      <w:r>
        <w:t xml:space="preserve">eputy Chair and </w:t>
      </w:r>
      <w:r w:rsidR="00D95E2A">
        <w:t>formalising</w:t>
      </w:r>
      <w:r>
        <w:t xml:space="preserve"> Māori </w:t>
      </w:r>
      <w:r w:rsidR="00D95E2A">
        <w:t>governance</w:t>
      </w:r>
      <w:r>
        <w:t xml:space="preserve"> in the TOR. </w:t>
      </w:r>
    </w:p>
    <w:p w14:paraId="551A01A8" w14:textId="146AF63D" w:rsidR="0090056F" w:rsidRPr="0090056F" w:rsidRDefault="0090056F" w:rsidP="0090056F">
      <w:pPr>
        <w:pStyle w:val="Heading1"/>
        <w:rPr>
          <w:b/>
          <w:bCs/>
          <w:color w:val="324F5C"/>
          <w:sz w:val="28"/>
          <w:szCs w:val="28"/>
        </w:rPr>
      </w:pPr>
      <w:bookmarkStart w:id="2" w:name="_Toc104562386"/>
      <w:r w:rsidRPr="003D6851">
        <w:rPr>
          <w:b/>
          <w:bCs/>
          <w:color w:val="324F5C"/>
          <w:sz w:val="28"/>
          <w:szCs w:val="28"/>
        </w:rPr>
        <w:lastRenderedPageBreak/>
        <w:t>Approval of minutes from NEAC’s 24 March 2022 meeting</w:t>
      </w:r>
      <w:bookmarkEnd w:id="2"/>
      <w:r w:rsidRPr="0090056F">
        <w:rPr>
          <w:b/>
          <w:bCs/>
          <w:color w:val="324F5C"/>
          <w:sz w:val="28"/>
          <w:szCs w:val="28"/>
        </w:rPr>
        <w:t xml:space="preserve"> </w:t>
      </w:r>
    </w:p>
    <w:p w14:paraId="040F2C10" w14:textId="1F701AD6" w:rsidR="0090056F" w:rsidRPr="005E0253" w:rsidRDefault="005E0253" w:rsidP="001757E0">
      <w:pPr>
        <w:pStyle w:val="ListParagraph"/>
        <w:numPr>
          <w:ilvl w:val="0"/>
          <w:numId w:val="1"/>
        </w:numPr>
      </w:pPr>
      <w:r w:rsidRPr="005E0253">
        <w:t xml:space="preserve">The Chair noted the use of names throughout the minutes and requested that </w:t>
      </w:r>
      <w:r>
        <w:t>where possible to use the person</w:t>
      </w:r>
      <w:r w:rsidR="00D95E2A">
        <w:t>’</w:t>
      </w:r>
      <w:r>
        <w:t>s role as an identifier rather than their name. The Secretariat agreed to do so unless the person</w:t>
      </w:r>
      <w:r w:rsidR="00A22C6F">
        <w:t>’</w:t>
      </w:r>
      <w:r>
        <w:t xml:space="preserve">s name is specifically relevant to the update.  </w:t>
      </w:r>
    </w:p>
    <w:p w14:paraId="31A64787" w14:textId="48CFA156" w:rsidR="003C588B" w:rsidRDefault="005E0253" w:rsidP="001757E0">
      <w:pPr>
        <w:pStyle w:val="ListParagraph"/>
        <w:numPr>
          <w:ilvl w:val="0"/>
          <w:numId w:val="1"/>
        </w:numPr>
      </w:pPr>
      <w:r w:rsidRPr="005E0253">
        <w:t xml:space="preserve">A NEAC member </w:t>
      </w:r>
      <w:r w:rsidR="00891000">
        <w:t xml:space="preserve">noted that an action point relating to point 62 in the minutes was missing from the final actions list. The section relates to the exclusion of disability-focused questions in the HDEC submission documents. The member requested that this be amended. </w:t>
      </w:r>
    </w:p>
    <w:p w14:paraId="606D3702" w14:textId="40334083" w:rsidR="00D94C63" w:rsidRPr="005E0253" w:rsidRDefault="00D94C63" w:rsidP="00D94C63">
      <w:pPr>
        <w:pStyle w:val="ListParagraph"/>
        <w:numPr>
          <w:ilvl w:val="0"/>
          <w:numId w:val="1"/>
        </w:numPr>
      </w:pPr>
      <w:r>
        <w:t>A NEAC member noted some of the language may not be lay-friendly and requested that more simple language is implemented where possible.</w:t>
      </w:r>
    </w:p>
    <w:p w14:paraId="21271AE7" w14:textId="77777777" w:rsidR="00F36214" w:rsidRPr="0090056F" w:rsidRDefault="00F36214" w:rsidP="00F36214">
      <w:pPr>
        <w:pStyle w:val="Heading2"/>
        <w:rPr>
          <w:b/>
          <w:bCs/>
          <w:color w:val="324F5C"/>
        </w:rPr>
      </w:pPr>
      <w:r w:rsidRPr="003B1CCC">
        <w:rPr>
          <w:b/>
          <w:bCs/>
          <w:color w:val="324F5C"/>
        </w:rPr>
        <w:t>Actions</w:t>
      </w:r>
    </w:p>
    <w:p w14:paraId="30D6ACF1" w14:textId="39569FF6" w:rsidR="00F36214" w:rsidRPr="00F36214" w:rsidRDefault="005E0253" w:rsidP="005E0253">
      <w:pPr>
        <w:pStyle w:val="ListParagraph"/>
        <w:numPr>
          <w:ilvl w:val="0"/>
          <w:numId w:val="24"/>
        </w:numPr>
      </w:pPr>
      <w:r w:rsidRPr="00F36214">
        <w:t>The Secretariat will remove names from the minutes.</w:t>
      </w:r>
    </w:p>
    <w:p w14:paraId="4655E062" w14:textId="7E4ED175" w:rsidR="00D94C63" w:rsidRDefault="00891000" w:rsidP="00C05DED">
      <w:pPr>
        <w:pStyle w:val="ListParagraph"/>
        <w:numPr>
          <w:ilvl w:val="0"/>
          <w:numId w:val="24"/>
        </w:numPr>
      </w:pPr>
      <w:r w:rsidRPr="00F36214">
        <w:t>The Secretariat will ensure that th</w:t>
      </w:r>
      <w:r w:rsidR="004970A4">
        <w:t>e</w:t>
      </w:r>
      <w:r w:rsidRPr="00F36214">
        <w:t xml:space="preserve"> action point </w:t>
      </w:r>
      <w:r w:rsidR="004970A4">
        <w:t xml:space="preserve">referred to above </w:t>
      </w:r>
      <w:r w:rsidRPr="00F36214">
        <w:t xml:space="preserve">is added to the </w:t>
      </w:r>
      <w:r w:rsidR="005D335A">
        <w:t xml:space="preserve">arising </w:t>
      </w:r>
      <w:r w:rsidRPr="00F36214">
        <w:t>actions document.</w:t>
      </w:r>
      <w:r w:rsidR="00F36214" w:rsidRPr="00F36214">
        <w:t xml:space="preserve"> The Secretariat will discuss and liaise with the NEAC member and HDEC Chairs to ensure that there is sufficient representation in the HDEC screening documents. </w:t>
      </w:r>
      <w:r w:rsidRPr="00F36214">
        <w:t xml:space="preserve"> </w:t>
      </w:r>
      <w:r w:rsidR="00D94C63">
        <w:t xml:space="preserve"> </w:t>
      </w:r>
    </w:p>
    <w:p w14:paraId="7BB1DB78" w14:textId="0A286079" w:rsidR="00174643" w:rsidRPr="0090056F" w:rsidRDefault="00C949EC" w:rsidP="00174643">
      <w:pPr>
        <w:pStyle w:val="Heading1"/>
        <w:rPr>
          <w:b/>
          <w:bCs/>
          <w:color w:val="324F5C"/>
          <w:sz w:val="28"/>
          <w:szCs w:val="28"/>
        </w:rPr>
      </w:pPr>
      <w:bookmarkStart w:id="3" w:name="_Toc104562387"/>
      <w:r w:rsidRPr="00D95E2A">
        <w:rPr>
          <w:b/>
          <w:bCs/>
          <w:color w:val="324F5C"/>
          <w:sz w:val="28"/>
          <w:szCs w:val="28"/>
        </w:rPr>
        <w:t xml:space="preserve">NEAC </w:t>
      </w:r>
      <w:r w:rsidR="0090056F" w:rsidRPr="00D95E2A">
        <w:rPr>
          <w:b/>
          <w:bCs/>
          <w:color w:val="324F5C"/>
          <w:sz w:val="28"/>
          <w:szCs w:val="28"/>
        </w:rPr>
        <w:t>Standards review</w:t>
      </w:r>
      <w:bookmarkEnd w:id="3"/>
    </w:p>
    <w:p w14:paraId="0007FCE2" w14:textId="77777777" w:rsidR="003B1CCC" w:rsidRDefault="003B1CCC" w:rsidP="003B1CCC">
      <w:pPr>
        <w:pStyle w:val="ListParagraph"/>
        <w:numPr>
          <w:ilvl w:val="0"/>
          <w:numId w:val="1"/>
        </w:numPr>
        <w:spacing w:after="0"/>
      </w:pPr>
      <w:bookmarkStart w:id="4" w:name="_Toc104562388"/>
      <w:r>
        <w:t xml:space="preserve">A NEAC member involved in the Standards review subgroup presented an update to the Committee. The member discussed the subgroup's meeting the preceding week which focused on the health data chapter of the NEAC Standards. The member noted the content overlaps with many other chapters (e.g. emerging health technology and the quality improvement chapter). </w:t>
      </w:r>
    </w:p>
    <w:p w14:paraId="4D7D2512" w14:textId="77777777" w:rsidR="003B1CCC" w:rsidRDefault="003B1CCC" w:rsidP="003B1CCC">
      <w:pPr>
        <w:pStyle w:val="ListParagraph"/>
        <w:numPr>
          <w:ilvl w:val="0"/>
          <w:numId w:val="1"/>
        </w:numPr>
        <w:spacing w:after="0"/>
      </w:pPr>
      <w:r>
        <w:t xml:space="preserve">The member explained it is important to keep the standards fit for purpose and noted the subgroup needs to be conscious of ensuring it captures any ethical or practical developments subsequent to the Standards publication in 2019 and cannot rely on public submissions alone. </w:t>
      </w:r>
    </w:p>
    <w:p w14:paraId="5503FB81" w14:textId="77777777" w:rsidR="003B1CCC" w:rsidRDefault="003B1CCC" w:rsidP="003B1CCC">
      <w:pPr>
        <w:pStyle w:val="ListParagraph"/>
        <w:numPr>
          <w:ilvl w:val="0"/>
          <w:numId w:val="1"/>
        </w:numPr>
        <w:spacing w:after="0"/>
      </w:pPr>
      <w:r>
        <w:t xml:space="preserve">The member discussed the Standards are constrained by a legally binding framework (including the Code of Health and Disability Consumers' Rights and Health Information Privacy Code) the subgroup must be mindful of.  </w:t>
      </w:r>
    </w:p>
    <w:p w14:paraId="14D474C8" w14:textId="77777777" w:rsidR="003B1CCC" w:rsidRDefault="003B1CCC" w:rsidP="003B1CCC">
      <w:pPr>
        <w:pStyle w:val="ListParagraph"/>
        <w:numPr>
          <w:ilvl w:val="0"/>
          <w:numId w:val="1"/>
        </w:numPr>
        <w:spacing w:after="0"/>
      </w:pPr>
      <w:r>
        <w:t xml:space="preserve">The member discussed a public submission which detailed concerns around the standards of data storage in locked filing cabinets and whether this is truly secure. The member noted the Government has a 'cloud first' storage policy and queried whether a data security expert should be consulted. </w:t>
      </w:r>
    </w:p>
    <w:p w14:paraId="3590EC3B" w14:textId="77777777" w:rsidR="003B1CCC" w:rsidRDefault="003B1CCC" w:rsidP="003B1CCC">
      <w:pPr>
        <w:pStyle w:val="ListParagraph"/>
        <w:numPr>
          <w:ilvl w:val="0"/>
          <w:numId w:val="1"/>
        </w:numPr>
        <w:spacing w:after="0"/>
      </w:pPr>
      <w:r>
        <w:t xml:space="preserve">The member noted that once tissue is analysed it becomes data and the subgroup would need to ensure there is no inconsistency between the data and tissue chapters. </w:t>
      </w:r>
    </w:p>
    <w:p w14:paraId="54DB4044" w14:textId="432C30F8" w:rsidR="003B1CCC" w:rsidRDefault="003B1CCC" w:rsidP="003B1CCC">
      <w:pPr>
        <w:pStyle w:val="ListParagraph"/>
        <w:numPr>
          <w:ilvl w:val="0"/>
          <w:numId w:val="1"/>
        </w:numPr>
        <w:spacing w:after="0"/>
      </w:pPr>
      <w:r>
        <w:t xml:space="preserve">Members discussed developments in Māori data sovereignty frameworks since 2019 the subgroup should consult and potentially incorporate or refer to in the chapter. </w:t>
      </w:r>
    </w:p>
    <w:p w14:paraId="4AB42E91" w14:textId="73F38858" w:rsidR="003B1CCC" w:rsidRDefault="003B1CCC" w:rsidP="003B1CCC">
      <w:pPr>
        <w:pStyle w:val="ListParagraph"/>
        <w:numPr>
          <w:ilvl w:val="0"/>
          <w:numId w:val="1"/>
        </w:numPr>
        <w:spacing w:after="0"/>
      </w:pPr>
      <w:r>
        <w:t xml:space="preserve">Members discussed the subgroup's request for a more formalised structure and timeline of the Standards review project. The Secretariat commented that this was in progress and an update would be provided to the subgroup shortly. </w:t>
      </w:r>
    </w:p>
    <w:p w14:paraId="3C83B1B5" w14:textId="40BB9592" w:rsidR="00174643" w:rsidRPr="0090056F" w:rsidRDefault="00174643" w:rsidP="00174643">
      <w:pPr>
        <w:pStyle w:val="Heading2"/>
        <w:rPr>
          <w:b/>
          <w:bCs/>
          <w:color w:val="324F5C"/>
        </w:rPr>
      </w:pPr>
      <w:r w:rsidRPr="003B1CCC">
        <w:rPr>
          <w:b/>
          <w:bCs/>
          <w:color w:val="324F5C"/>
        </w:rPr>
        <w:t>Actions</w:t>
      </w:r>
      <w:bookmarkEnd w:id="4"/>
    </w:p>
    <w:p w14:paraId="1A188D70" w14:textId="106DA8B4" w:rsidR="00174643" w:rsidRPr="003B1CCC" w:rsidRDefault="003B1CCC" w:rsidP="007C77C8">
      <w:pPr>
        <w:pStyle w:val="ListParagraph"/>
        <w:numPr>
          <w:ilvl w:val="0"/>
          <w:numId w:val="8"/>
        </w:numPr>
      </w:pPr>
      <w:r>
        <w:t>Secretariat to email NEAC members with formalised structure of Standards review project and to invite additional members into the project.</w:t>
      </w:r>
    </w:p>
    <w:p w14:paraId="4790E50A" w14:textId="272DC92E" w:rsidR="007C77C8" w:rsidRPr="0090056F" w:rsidRDefault="00F125B4" w:rsidP="007C77C8">
      <w:pPr>
        <w:pStyle w:val="Heading1"/>
        <w:rPr>
          <w:b/>
          <w:bCs/>
          <w:color w:val="324F5C"/>
          <w:sz w:val="28"/>
          <w:szCs w:val="28"/>
        </w:rPr>
      </w:pPr>
      <w:r>
        <w:rPr>
          <w:b/>
          <w:bCs/>
          <w:color w:val="324F5C"/>
          <w:sz w:val="28"/>
          <w:szCs w:val="28"/>
        </w:rPr>
        <w:t>Research with adults who are unable to provide informed consent</w:t>
      </w:r>
    </w:p>
    <w:p w14:paraId="5FE7E75D" w14:textId="5B7C3E0B" w:rsidR="00C260C0" w:rsidRDefault="008D4252" w:rsidP="00C34D71">
      <w:pPr>
        <w:pStyle w:val="ListParagraph"/>
        <w:numPr>
          <w:ilvl w:val="0"/>
          <w:numId w:val="1"/>
        </w:numPr>
        <w:jc w:val="both"/>
        <w:rPr>
          <w:color w:val="000000" w:themeColor="text1"/>
        </w:rPr>
      </w:pPr>
      <w:r w:rsidRPr="00C260C0">
        <w:rPr>
          <w:color w:val="000000" w:themeColor="text1"/>
        </w:rPr>
        <w:t xml:space="preserve">The Chair introduced this item </w:t>
      </w:r>
      <w:r w:rsidR="00480276" w:rsidRPr="00C260C0">
        <w:rPr>
          <w:color w:val="000000" w:themeColor="text1"/>
        </w:rPr>
        <w:t xml:space="preserve">and </w:t>
      </w:r>
      <w:r w:rsidR="00B87936" w:rsidRPr="00C260C0">
        <w:rPr>
          <w:color w:val="000000" w:themeColor="text1"/>
        </w:rPr>
        <w:t>advised that</w:t>
      </w:r>
      <w:r w:rsidR="00C260C0">
        <w:rPr>
          <w:color w:val="000000" w:themeColor="text1"/>
        </w:rPr>
        <w:t xml:space="preserve"> </w:t>
      </w:r>
      <w:r w:rsidR="00B87936" w:rsidRPr="00C260C0">
        <w:rPr>
          <w:color w:val="000000" w:themeColor="text1"/>
        </w:rPr>
        <w:t xml:space="preserve">he </w:t>
      </w:r>
      <w:r w:rsidR="00FE214F">
        <w:rPr>
          <w:color w:val="000000" w:themeColor="text1"/>
        </w:rPr>
        <w:t xml:space="preserve">recently </w:t>
      </w:r>
      <w:r w:rsidR="00B87936" w:rsidRPr="00C260C0">
        <w:rPr>
          <w:color w:val="000000" w:themeColor="text1"/>
        </w:rPr>
        <w:t xml:space="preserve">met with the Manager of Ethics and Secretariat to discuss </w:t>
      </w:r>
      <w:r w:rsidR="006A5663">
        <w:rPr>
          <w:color w:val="000000" w:themeColor="text1"/>
        </w:rPr>
        <w:t>next steps</w:t>
      </w:r>
      <w:r w:rsidR="00F51218">
        <w:rPr>
          <w:color w:val="000000" w:themeColor="text1"/>
        </w:rPr>
        <w:t xml:space="preserve">, noting that the </w:t>
      </w:r>
      <w:r w:rsidR="00FE214F">
        <w:rPr>
          <w:color w:val="000000" w:themeColor="text1"/>
        </w:rPr>
        <w:t>Health and Disability Commissioner (</w:t>
      </w:r>
      <w:r w:rsidR="00466076">
        <w:rPr>
          <w:color w:val="000000" w:themeColor="text1"/>
        </w:rPr>
        <w:t xml:space="preserve">the </w:t>
      </w:r>
      <w:r w:rsidR="00FE214F">
        <w:rPr>
          <w:color w:val="000000" w:themeColor="text1"/>
        </w:rPr>
        <w:t>HDC)</w:t>
      </w:r>
      <w:r w:rsidR="00F51218">
        <w:rPr>
          <w:color w:val="000000" w:themeColor="text1"/>
        </w:rPr>
        <w:t xml:space="preserve"> had not indicated </w:t>
      </w:r>
      <w:r w:rsidR="006E52D6">
        <w:rPr>
          <w:color w:val="000000" w:themeColor="text1"/>
        </w:rPr>
        <w:t>her</w:t>
      </w:r>
      <w:r w:rsidR="00F51218">
        <w:rPr>
          <w:color w:val="000000" w:themeColor="text1"/>
        </w:rPr>
        <w:t xml:space="preserve"> intentions </w:t>
      </w:r>
      <w:r w:rsidR="006E52D6">
        <w:rPr>
          <w:color w:val="000000" w:themeColor="text1"/>
        </w:rPr>
        <w:t>regarding</w:t>
      </w:r>
      <w:r w:rsidR="00F51218">
        <w:rPr>
          <w:color w:val="000000" w:themeColor="text1"/>
        </w:rPr>
        <w:t xml:space="preserve"> the former Commissioner’s report</w:t>
      </w:r>
      <w:r w:rsidR="006E52D6">
        <w:rPr>
          <w:color w:val="000000" w:themeColor="text1"/>
        </w:rPr>
        <w:t xml:space="preserve"> on this matter</w:t>
      </w:r>
      <w:r w:rsidR="00F51218">
        <w:rPr>
          <w:color w:val="000000" w:themeColor="text1"/>
        </w:rPr>
        <w:t xml:space="preserve">, since </w:t>
      </w:r>
      <w:r w:rsidR="00DC105E">
        <w:rPr>
          <w:color w:val="000000" w:themeColor="text1"/>
        </w:rPr>
        <w:t>the Chair met with her on 10 November 2021.</w:t>
      </w:r>
    </w:p>
    <w:p w14:paraId="20121A5C" w14:textId="1221D990" w:rsidR="00B92287" w:rsidRPr="00B92287" w:rsidRDefault="00B92287" w:rsidP="00B92287">
      <w:pPr>
        <w:pStyle w:val="ListParagraph"/>
        <w:numPr>
          <w:ilvl w:val="0"/>
          <w:numId w:val="1"/>
        </w:numPr>
        <w:jc w:val="both"/>
        <w:rPr>
          <w:color w:val="000000" w:themeColor="text1"/>
        </w:rPr>
      </w:pPr>
      <w:r>
        <w:rPr>
          <w:color w:val="000000" w:themeColor="text1"/>
        </w:rPr>
        <w:t xml:space="preserve">The Manager of Ethics contacted the HDC twice </w:t>
      </w:r>
      <w:r w:rsidR="007644F3">
        <w:rPr>
          <w:color w:val="000000" w:themeColor="text1"/>
        </w:rPr>
        <w:t xml:space="preserve">prior to this NEAC meeting </w:t>
      </w:r>
      <w:r>
        <w:rPr>
          <w:color w:val="000000" w:themeColor="text1"/>
        </w:rPr>
        <w:t xml:space="preserve">to request an update but had not received any response. </w:t>
      </w:r>
    </w:p>
    <w:p w14:paraId="7E60802F" w14:textId="1345D0C3" w:rsidR="00B92287" w:rsidRDefault="00524AAE" w:rsidP="00C34D71">
      <w:pPr>
        <w:pStyle w:val="ListParagraph"/>
        <w:numPr>
          <w:ilvl w:val="0"/>
          <w:numId w:val="1"/>
        </w:numPr>
        <w:jc w:val="both"/>
        <w:rPr>
          <w:color w:val="000000" w:themeColor="text1"/>
        </w:rPr>
      </w:pPr>
      <w:r>
        <w:rPr>
          <w:color w:val="000000" w:themeColor="text1"/>
        </w:rPr>
        <w:t xml:space="preserve">The Chair </w:t>
      </w:r>
      <w:r w:rsidR="00B92287">
        <w:rPr>
          <w:color w:val="000000" w:themeColor="text1"/>
        </w:rPr>
        <w:t xml:space="preserve">noted that </w:t>
      </w:r>
      <w:r w:rsidR="007C72E0">
        <w:rPr>
          <w:color w:val="000000" w:themeColor="text1"/>
        </w:rPr>
        <w:t xml:space="preserve">at its meeting on 24 March 2022 </w:t>
      </w:r>
      <w:r w:rsidR="00D64585">
        <w:rPr>
          <w:color w:val="000000" w:themeColor="text1"/>
        </w:rPr>
        <w:t xml:space="preserve">NEAC considered a draft version of a detailed letter </w:t>
      </w:r>
      <w:r w:rsidR="007C72E0">
        <w:rPr>
          <w:color w:val="000000" w:themeColor="text1"/>
        </w:rPr>
        <w:t>to the</w:t>
      </w:r>
      <w:r w:rsidR="00D64585">
        <w:rPr>
          <w:color w:val="000000" w:themeColor="text1"/>
        </w:rPr>
        <w:t xml:space="preserve"> Minister of Health</w:t>
      </w:r>
      <w:r w:rsidR="007C72E0">
        <w:rPr>
          <w:color w:val="000000" w:themeColor="text1"/>
        </w:rPr>
        <w:t xml:space="preserve"> about this issue</w:t>
      </w:r>
      <w:r w:rsidR="00D64585">
        <w:rPr>
          <w:color w:val="000000" w:themeColor="text1"/>
        </w:rPr>
        <w:t>. However, the Chair proposed</w:t>
      </w:r>
      <w:r w:rsidR="007C72E0">
        <w:rPr>
          <w:color w:val="000000" w:themeColor="text1"/>
        </w:rPr>
        <w:t xml:space="preserve"> to members</w:t>
      </w:r>
      <w:r w:rsidR="00D64585">
        <w:rPr>
          <w:color w:val="000000" w:themeColor="text1"/>
        </w:rPr>
        <w:t xml:space="preserve"> that the best approach </w:t>
      </w:r>
      <w:r w:rsidR="00D64585">
        <w:rPr>
          <w:color w:val="000000" w:themeColor="text1"/>
        </w:rPr>
        <w:lastRenderedPageBreak/>
        <w:t>is</w:t>
      </w:r>
      <w:r w:rsidR="007C6987">
        <w:rPr>
          <w:color w:val="000000" w:themeColor="text1"/>
        </w:rPr>
        <w:t xml:space="preserve"> to write </w:t>
      </w:r>
      <w:r w:rsidR="00D64585">
        <w:rPr>
          <w:color w:val="000000" w:themeColor="text1"/>
        </w:rPr>
        <w:t xml:space="preserve">to the HDC requesting an update to clarify their intentions </w:t>
      </w:r>
      <w:r w:rsidR="00C730DB">
        <w:rPr>
          <w:color w:val="000000" w:themeColor="text1"/>
        </w:rPr>
        <w:t xml:space="preserve">and any progress </w:t>
      </w:r>
      <w:r w:rsidR="00D64585">
        <w:rPr>
          <w:color w:val="000000" w:themeColor="text1"/>
        </w:rPr>
        <w:t>regarding the former Commissioner’s report</w:t>
      </w:r>
      <w:r w:rsidR="000E058C">
        <w:rPr>
          <w:color w:val="000000" w:themeColor="text1"/>
        </w:rPr>
        <w:t>.</w:t>
      </w:r>
      <w:r w:rsidR="0058379A">
        <w:rPr>
          <w:color w:val="000000" w:themeColor="text1"/>
        </w:rPr>
        <w:t xml:space="preserve"> NEAC agreed with this approach.</w:t>
      </w:r>
    </w:p>
    <w:p w14:paraId="4EC03EC4" w14:textId="41C1E0D5" w:rsidR="003D241D" w:rsidRPr="009F0302" w:rsidRDefault="0003744E" w:rsidP="00C34D71">
      <w:pPr>
        <w:pStyle w:val="ListParagraph"/>
        <w:numPr>
          <w:ilvl w:val="0"/>
          <w:numId w:val="1"/>
        </w:numPr>
        <w:jc w:val="both"/>
        <w:rPr>
          <w:color w:val="000000" w:themeColor="text1"/>
        </w:rPr>
      </w:pPr>
      <w:r>
        <w:rPr>
          <w:color w:val="000000" w:themeColor="text1"/>
        </w:rPr>
        <w:t xml:space="preserve">NEAC may decide to </w:t>
      </w:r>
      <w:r w:rsidR="007C6987">
        <w:rPr>
          <w:color w:val="000000" w:themeColor="text1"/>
        </w:rPr>
        <w:t xml:space="preserve">write directly to the Minister of Health </w:t>
      </w:r>
      <w:r>
        <w:rPr>
          <w:color w:val="000000" w:themeColor="text1"/>
        </w:rPr>
        <w:t>after hearing back from the HDC</w:t>
      </w:r>
      <w:r w:rsidR="007C6987">
        <w:rPr>
          <w:color w:val="000000" w:themeColor="text1"/>
        </w:rPr>
        <w:t xml:space="preserve">. </w:t>
      </w:r>
    </w:p>
    <w:p w14:paraId="6A24FA7C" w14:textId="27AA52B8" w:rsidR="00C730DB" w:rsidRDefault="00506087" w:rsidP="00C34D71">
      <w:pPr>
        <w:pStyle w:val="ListParagraph"/>
        <w:numPr>
          <w:ilvl w:val="0"/>
          <w:numId w:val="1"/>
        </w:numPr>
        <w:jc w:val="both"/>
        <w:rPr>
          <w:color w:val="000000" w:themeColor="text1"/>
        </w:rPr>
      </w:pPr>
      <w:r>
        <w:rPr>
          <w:color w:val="000000" w:themeColor="text1"/>
        </w:rPr>
        <w:t>The C</w:t>
      </w:r>
      <w:r w:rsidR="00A37C5C">
        <w:rPr>
          <w:color w:val="000000" w:themeColor="text1"/>
        </w:rPr>
        <w:t>hair</w:t>
      </w:r>
      <w:r>
        <w:rPr>
          <w:color w:val="000000" w:themeColor="text1"/>
        </w:rPr>
        <w:t xml:space="preserve"> also</w:t>
      </w:r>
      <w:r w:rsidR="00F809C6">
        <w:rPr>
          <w:color w:val="000000" w:themeColor="text1"/>
        </w:rPr>
        <w:t xml:space="preserve"> referred to</w:t>
      </w:r>
      <w:r w:rsidR="00A37C5C">
        <w:rPr>
          <w:color w:val="000000" w:themeColor="text1"/>
        </w:rPr>
        <w:t xml:space="preserve"> the</w:t>
      </w:r>
      <w:r w:rsidR="00F809C6">
        <w:rPr>
          <w:color w:val="000000" w:themeColor="text1"/>
        </w:rPr>
        <w:t xml:space="preserve"> Medical Research Institute of New Zealand’s</w:t>
      </w:r>
      <w:r w:rsidR="00A37C5C">
        <w:rPr>
          <w:color w:val="000000" w:themeColor="text1"/>
        </w:rPr>
        <w:t xml:space="preserve"> </w:t>
      </w:r>
      <w:r w:rsidR="009F0302">
        <w:rPr>
          <w:color w:val="000000" w:themeColor="text1"/>
        </w:rPr>
        <w:t>Intensive Care Unit (</w:t>
      </w:r>
      <w:r w:rsidR="00A37C5C">
        <w:rPr>
          <w:color w:val="000000" w:themeColor="text1"/>
        </w:rPr>
        <w:t>ICU</w:t>
      </w:r>
      <w:r w:rsidR="009F0302">
        <w:rPr>
          <w:color w:val="000000" w:themeColor="text1"/>
        </w:rPr>
        <w:t>)</w:t>
      </w:r>
      <w:r w:rsidR="00A37C5C">
        <w:rPr>
          <w:color w:val="000000" w:themeColor="text1"/>
        </w:rPr>
        <w:t xml:space="preserve"> matrix</w:t>
      </w:r>
      <w:r w:rsidR="009F0302">
        <w:rPr>
          <w:color w:val="000000" w:themeColor="text1"/>
        </w:rPr>
        <w:t xml:space="preserve"> about a</w:t>
      </w:r>
      <w:r w:rsidR="00F809C6">
        <w:rPr>
          <w:color w:val="000000" w:themeColor="text1"/>
        </w:rPr>
        <w:t xml:space="preserve">pproaches to potential scenarios for obtaining consent from incompetent participants after enrolment without prior written consent. </w:t>
      </w:r>
    </w:p>
    <w:p w14:paraId="257EFB2B" w14:textId="1FA01626" w:rsidR="00DA26D3" w:rsidRDefault="00C730DB" w:rsidP="00C34D71">
      <w:pPr>
        <w:pStyle w:val="ListParagraph"/>
        <w:numPr>
          <w:ilvl w:val="0"/>
          <w:numId w:val="1"/>
        </w:numPr>
        <w:jc w:val="both"/>
        <w:rPr>
          <w:color w:val="000000" w:themeColor="text1"/>
        </w:rPr>
      </w:pPr>
      <w:r>
        <w:rPr>
          <w:color w:val="000000" w:themeColor="text1"/>
        </w:rPr>
        <w:t xml:space="preserve">Members </w:t>
      </w:r>
      <w:r w:rsidR="00F545F7">
        <w:rPr>
          <w:color w:val="000000" w:themeColor="text1"/>
        </w:rPr>
        <w:t xml:space="preserve">noted that </w:t>
      </w:r>
      <w:r w:rsidR="00C55416">
        <w:rPr>
          <w:color w:val="000000" w:themeColor="text1"/>
        </w:rPr>
        <w:t xml:space="preserve">there are inconsistencies in the ICU matrix </w:t>
      </w:r>
      <w:r w:rsidR="002042DB">
        <w:rPr>
          <w:color w:val="000000" w:themeColor="text1"/>
        </w:rPr>
        <w:t>and aspects of it</w:t>
      </w:r>
      <w:r w:rsidR="00F308B1">
        <w:rPr>
          <w:color w:val="000000" w:themeColor="text1"/>
        </w:rPr>
        <w:t xml:space="preserve"> do not </w:t>
      </w:r>
      <w:r w:rsidR="002042DB">
        <w:rPr>
          <w:color w:val="000000" w:themeColor="text1"/>
        </w:rPr>
        <w:t>reflect</w:t>
      </w:r>
      <w:r w:rsidR="00F308B1">
        <w:rPr>
          <w:color w:val="000000" w:themeColor="text1"/>
        </w:rPr>
        <w:t xml:space="preserve"> the current legal environment.</w:t>
      </w:r>
      <w:r w:rsidR="00613C01">
        <w:rPr>
          <w:color w:val="000000" w:themeColor="text1"/>
        </w:rPr>
        <w:t xml:space="preserve"> </w:t>
      </w:r>
      <w:r w:rsidR="004305E5">
        <w:rPr>
          <w:color w:val="000000" w:themeColor="text1"/>
        </w:rPr>
        <w:t>Further, the r</w:t>
      </w:r>
      <w:r w:rsidR="00DA26D3">
        <w:rPr>
          <w:color w:val="000000" w:themeColor="text1"/>
        </w:rPr>
        <w:t xml:space="preserve">elevant laws and regulations that might apply to the scenarios are not referenced. </w:t>
      </w:r>
    </w:p>
    <w:p w14:paraId="4C34375B" w14:textId="75F20542" w:rsidR="00C730DB" w:rsidRDefault="004305E5" w:rsidP="00C34D71">
      <w:pPr>
        <w:pStyle w:val="ListParagraph"/>
        <w:numPr>
          <w:ilvl w:val="0"/>
          <w:numId w:val="1"/>
        </w:numPr>
        <w:jc w:val="both"/>
        <w:rPr>
          <w:color w:val="000000" w:themeColor="text1"/>
        </w:rPr>
      </w:pPr>
      <w:r>
        <w:rPr>
          <w:color w:val="000000" w:themeColor="text1"/>
        </w:rPr>
        <w:t xml:space="preserve">Members </w:t>
      </w:r>
      <w:r w:rsidR="0045496E">
        <w:rPr>
          <w:color w:val="000000" w:themeColor="text1"/>
        </w:rPr>
        <w:t>discussed</w:t>
      </w:r>
      <w:r w:rsidR="00D30BAD">
        <w:rPr>
          <w:color w:val="000000" w:themeColor="text1"/>
        </w:rPr>
        <w:t xml:space="preserve"> scenario six</w:t>
      </w:r>
      <w:r w:rsidR="0045496E">
        <w:rPr>
          <w:color w:val="000000" w:themeColor="text1"/>
        </w:rPr>
        <w:t xml:space="preserve"> (participant dies before the study has been discussed with the family or other interested persons).</w:t>
      </w:r>
      <w:r w:rsidR="00D30BAD">
        <w:rPr>
          <w:color w:val="000000" w:themeColor="text1"/>
        </w:rPr>
        <w:t xml:space="preserve"> </w:t>
      </w:r>
      <w:r w:rsidR="0045496E">
        <w:rPr>
          <w:color w:val="000000" w:themeColor="text1"/>
        </w:rPr>
        <w:t>It was noted that there a</w:t>
      </w:r>
      <w:r w:rsidR="00613C01">
        <w:rPr>
          <w:color w:val="000000" w:themeColor="text1"/>
        </w:rPr>
        <w:t xml:space="preserve">re </w:t>
      </w:r>
      <w:r w:rsidR="0045496E">
        <w:rPr>
          <w:color w:val="000000" w:themeColor="text1"/>
        </w:rPr>
        <w:t>several</w:t>
      </w:r>
      <w:r w:rsidR="00613C01">
        <w:rPr>
          <w:color w:val="000000" w:themeColor="text1"/>
        </w:rPr>
        <w:t xml:space="preserve"> legislati</w:t>
      </w:r>
      <w:r w:rsidR="00D30BAD">
        <w:rPr>
          <w:color w:val="000000" w:themeColor="text1"/>
        </w:rPr>
        <w:t xml:space="preserve">ve provisions which are inconsistent about whether they apply to deceased participants. </w:t>
      </w:r>
      <w:r w:rsidR="0045496E">
        <w:rPr>
          <w:color w:val="000000" w:themeColor="text1"/>
        </w:rPr>
        <w:t>Accordingly, t</w:t>
      </w:r>
      <w:r w:rsidR="00D30BAD">
        <w:rPr>
          <w:color w:val="000000" w:themeColor="text1"/>
        </w:rPr>
        <w:t xml:space="preserve">he situation is more complex than what is stated for this scenario. </w:t>
      </w:r>
    </w:p>
    <w:p w14:paraId="20A1152F" w14:textId="622BF151" w:rsidR="00F545F7" w:rsidRDefault="00D30BAD" w:rsidP="00DA26D3">
      <w:pPr>
        <w:pStyle w:val="ListParagraph"/>
        <w:numPr>
          <w:ilvl w:val="0"/>
          <w:numId w:val="1"/>
        </w:numPr>
        <w:jc w:val="both"/>
        <w:rPr>
          <w:color w:val="000000" w:themeColor="text1"/>
        </w:rPr>
      </w:pPr>
      <w:r>
        <w:rPr>
          <w:color w:val="000000" w:themeColor="text1"/>
        </w:rPr>
        <w:t xml:space="preserve">The ICU matrix also does not mention supported decision making. However, NEAC’s </w:t>
      </w:r>
      <w:r w:rsidRPr="0056142D">
        <w:rPr>
          <w:i/>
          <w:iCs/>
          <w:color w:val="000000" w:themeColor="text1"/>
        </w:rPr>
        <w:t>National Ethical Standards for Health and Disability Research and Quality Improvement, 2019</w:t>
      </w:r>
      <w:r>
        <w:rPr>
          <w:i/>
          <w:iCs/>
          <w:color w:val="000000" w:themeColor="text1"/>
        </w:rPr>
        <w:t xml:space="preserve"> </w:t>
      </w:r>
      <w:r>
        <w:rPr>
          <w:color w:val="000000" w:themeColor="text1"/>
        </w:rPr>
        <w:t xml:space="preserve">and the </w:t>
      </w:r>
      <w:r w:rsidR="003A5E73">
        <w:rPr>
          <w:color w:val="000000" w:themeColor="text1"/>
        </w:rPr>
        <w:t>Code of Health and Disability Services Consumers’ Rights</w:t>
      </w:r>
      <w:r w:rsidR="00DA26D3">
        <w:rPr>
          <w:color w:val="000000" w:themeColor="text1"/>
        </w:rPr>
        <w:t xml:space="preserve"> are clear about </w:t>
      </w:r>
      <w:r w:rsidR="00825988">
        <w:rPr>
          <w:color w:val="000000" w:themeColor="text1"/>
        </w:rPr>
        <w:t>the importance of</w:t>
      </w:r>
      <w:r w:rsidR="00DA26D3">
        <w:rPr>
          <w:color w:val="000000" w:themeColor="text1"/>
        </w:rPr>
        <w:t xml:space="preserve"> supported decision making. </w:t>
      </w:r>
    </w:p>
    <w:p w14:paraId="3B9EF33D" w14:textId="3301D248" w:rsidR="006A016C" w:rsidRPr="00DA26D3" w:rsidRDefault="006A016C" w:rsidP="00DA26D3">
      <w:pPr>
        <w:pStyle w:val="ListParagraph"/>
        <w:numPr>
          <w:ilvl w:val="0"/>
          <w:numId w:val="1"/>
        </w:numPr>
        <w:jc w:val="both"/>
        <w:rPr>
          <w:color w:val="000000" w:themeColor="text1"/>
        </w:rPr>
      </w:pPr>
      <w:r>
        <w:rPr>
          <w:color w:val="000000" w:themeColor="text1"/>
        </w:rPr>
        <w:t>Members noted that if the ICU matrix can be finetuned and circulated to the HDC and ICU researchers, then this could assist significantly in resolving the issue</w:t>
      </w:r>
      <w:r w:rsidR="008B1226">
        <w:rPr>
          <w:color w:val="000000" w:themeColor="text1"/>
        </w:rPr>
        <w:t xml:space="preserve"> of obtaining consent from incompetent participants after enrolment without prior written consent. </w:t>
      </w:r>
    </w:p>
    <w:p w14:paraId="0A0F08D7" w14:textId="27E47E20" w:rsidR="000860B2" w:rsidRPr="0017105C" w:rsidRDefault="00D42F0D" w:rsidP="0017105C">
      <w:pPr>
        <w:pStyle w:val="ListParagraph"/>
        <w:numPr>
          <w:ilvl w:val="0"/>
          <w:numId w:val="1"/>
        </w:numPr>
        <w:jc w:val="both"/>
        <w:rPr>
          <w:color w:val="000000" w:themeColor="text1"/>
        </w:rPr>
      </w:pPr>
      <w:r>
        <w:rPr>
          <w:color w:val="000000" w:themeColor="text1"/>
        </w:rPr>
        <w:t>A member</w:t>
      </w:r>
      <w:r w:rsidR="008B1226">
        <w:rPr>
          <w:color w:val="000000" w:themeColor="text1"/>
        </w:rPr>
        <w:t xml:space="preserve"> also</w:t>
      </w:r>
      <w:r>
        <w:rPr>
          <w:color w:val="000000" w:themeColor="text1"/>
        </w:rPr>
        <w:t xml:space="preserve"> noted that NEAC’s current work programme </w:t>
      </w:r>
      <w:r w:rsidR="00AC151B">
        <w:rPr>
          <w:color w:val="000000" w:themeColor="text1"/>
        </w:rPr>
        <w:t xml:space="preserve">focuses on health and disability research. However, under the </w:t>
      </w:r>
      <w:r w:rsidR="00967125">
        <w:rPr>
          <w:color w:val="000000" w:themeColor="text1"/>
        </w:rPr>
        <w:t xml:space="preserve">New Zealand Public Health and Disability Act 2000, NEAC </w:t>
      </w:r>
      <w:r w:rsidR="008841DB">
        <w:rPr>
          <w:color w:val="000000" w:themeColor="text1"/>
        </w:rPr>
        <w:t xml:space="preserve">must be responsible </w:t>
      </w:r>
      <w:r w:rsidR="000860B2">
        <w:rPr>
          <w:color w:val="000000" w:themeColor="text1"/>
        </w:rPr>
        <w:t>for the ethical standards across health and disability services, not just research.</w:t>
      </w:r>
      <w:r w:rsidR="00056536">
        <w:rPr>
          <w:color w:val="000000" w:themeColor="text1"/>
        </w:rPr>
        <w:t xml:space="preserve"> </w:t>
      </w:r>
      <w:r w:rsidR="008B1226">
        <w:rPr>
          <w:color w:val="000000" w:themeColor="text1"/>
        </w:rPr>
        <w:t xml:space="preserve">ICU and clinical ethics advisory groups </w:t>
      </w:r>
      <w:r w:rsidR="0017105C">
        <w:rPr>
          <w:color w:val="000000" w:themeColor="text1"/>
        </w:rPr>
        <w:t xml:space="preserve">are within NEAC’s scope and are particularly relevant in light of current pressures on the health system due to the COVID-19 pandemic. </w:t>
      </w:r>
      <w:r w:rsidR="00056536" w:rsidRPr="0017105C">
        <w:rPr>
          <w:color w:val="000000" w:themeColor="text1"/>
        </w:rPr>
        <w:t xml:space="preserve">NEAC agreed to </w:t>
      </w:r>
      <w:r w:rsidR="00FB2CC2">
        <w:rPr>
          <w:color w:val="000000" w:themeColor="text1"/>
        </w:rPr>
        <w:t xml:space="preserve">revisit the </w:t>
      </w:r>
      <w:r w:rsidR="00056536" w:rsidRPr="0017105C">
        <w:rPr>
          <w:color w:val="000000" w:themeColor="text1"/>
        </w:rPr>
        <w:t>ICU matrix</w:t>
      </w:r>
      <w:r w:rsidR="00FB2CC2">
        <w:rPr>
          <w:color w:val="000000" w:themeColor="text1"/>
        </w:rPr>
        <w:t xml:space="preserve"> </w:t>
      </w:r>
      <w:r w:rsidR="00056536" w:rsidRPr="0017105C">
        <w:rPr>
          <w:color w:val="000000" w:themeColor="text1"/>
        </w:rPr>
        <w:t xml:space="preserve">when </w:t>
      </w:r>
      <w:r w:rsidR="0017105C">
        <w:rPr>
          <w:color w:val="000000" w:themeColor="text1"/>
        </w:rPr>
        <w:t>considering</w:t>
      </w:r>
      <w:r w:rsidR="00056536" w:rsidRPr="0017105C">
        <w:rPr>
          <w:color w:val="000000" w:themeColor="text1"/>
        </w:rPr>
        <w:t xml:space="preserve"> its </w:t>
      </w:r>
      <w:r w:rsidR="0017105C">
        <w:rPr>
          <w:color w:val="000000" w:themeColor="text1"/>
        </w:rPr>
        <w:t>Decision</w:t>
      </w:r>
      <w:r w:rsidR="001A171A">
        <w:rPr>
          <w:color w:val="000000" w:themeColor="text1"/>
        </w:rPr>
        <w:t>-</w:t>
      </w:r>
      <w:r w:rsidR="0017105C">
        <w:rPr>
          <w:color w:val="000000" w:themeColor="text1"/>
        </w:rPr>
        <w:t>Making Framework</w:t>
      </w:r>
      <w:r w:rsidR="00056536" w:rsidRPr="0017105C">
        <w:rPr>
          <w:color w:val="000000" w:themeColor="text1"/>
        </w:rPr>
        <w:t xml:space="preserve">. </w:t>
      </w:r>
    </w:p>
    <w:p w14:paraId="78864E09" w14:textId="77777777" w:rsidR="007C77C8" w:rsidRPr="0090056F" w:rsidRDefault="007C77C8" w:rsidP="007C77C8">
      <w:pPr>
        <w:pStyle w:val="Heading2"/>
        <w:rPr>
          <w:b/>
          <w:bCs/>
          <w:color w:val="324F5C"/>
        </w:rPr>
      </w:pPr>
      <w:bookmarkStart w:id="5" w:name="_Toc104562390"/>
      <w:r w:rsidRPr="0090056F">
        <w:rPr>
          <w:b/>
          <w:bCs/>
          <w:color w:val="324F5C"/>
        </w:rPr>
        <w:t>Actions</w:t>
      </w:r>
      <w:bookmarkEnd w:id="5"/>
    </w:p>
    <w:p w14:paraId="0C7AA386" w14:textId="5441254E" w:rsidR="0090056F" w:rsidRDefault="00187DBB" w:rsidP="00C34D71">
      <w:pPr>
        <w:pStyle w:val="ListParagraph"/>
        <w:numPr>
          <w:ilvl w:val="0"/>
          <w:numId w:val="8"/>
        </w:numPr>
        <w:jc w:val="both"/>
        <w:rPr>
          <w:color w:val="000000" w:themeColor="text1"/>
        </w:rPr>
      </w:pPr>
      <w:r>
        <w:rPr>
          <w:color w:val="000000" w:themeColor="text1"/>
        </w:rPr>
        <w:t xml:space="preserve">Secretariat to work with the Chair </w:t>
      </w:r>
      <w:r w:rsidR="00AD6A21">
        <w:rPr>
          <w:color w:val="000000" w:themeColor="text1"/>
        </w:rPr>
        <w:t>to draft a letter to the HDC requesting an update</w:t>
      </w:r>
      <w:r w:rsidR="00AD6A21" w:rsidRPr="00524AAE">
        <w:rPr>
          <w:color w:val="000000" w:themeColor="text1"/>
        </w:rPr>
        <w:t xml:space="preserve"> </w:t>
      </w:r>
      <w:r w:rsidR="000E058C">
        <w:rPr>
          <w:color w:val="000000" w:themeColor="text1"/>
        </w:rPr>
        <w:t>on</w:t>
      </w:r>
      <w:r w:rsidR="00AD6A21" w:rsidRPr="00524AAE">
        <w:rPr>
          <w:color w:val="000000" w:themeColor="text1"/>
        </w:rPr>
        <w:t xml:space="preserve"> their intentions</w:t>
      </w:r>
      <w:r w:rsidR="00C730DB">
        <w:rPr>
          <w:color w:val="000000" w:themeColor="text1"/>
        </w:rPr>
        <w:t xml:space="preserve"> and any progress</w:t>
      </w:r>
      <w:r w:rsidR="00AD6A21" w:rsidRPr="00524AAE">
        <w:rPr>
          <w:color w:val="000000" w:themeColor="text1"/>
        </w:rPr>
        <w:t xml:space="preserve"> regarding the former Commissioner’s report</w:t>
      </w:r>
    </w:p>
    <w:p w14:paraId="60A6D9E2" w14:textId="62A84CAA" w:rsidR="00AD6A21" w:rsidRPr="00187DBB" w:rsidRDefault="007D7BAA" w:rsidP="00C34D71">
      <w:pPr>
        <w:pStyle w:val="ListParagraph"/>
        <w:numPr>
          <w:ilvl w:val="0"/>
          <w:numId w:val="8"/>
        </w:numPr>
        <w:jc w:val="both"/>
        <w:rPr>
          <w:color w:val="000000" w:themeColor="text1"/>
        </w:rPr>
      </w:pPr>
      <w:r>
        <w:rPr>
          <w:color w:val="000000" w:themeColor="text1"/>
        </w:rPr>
        <w:t xml:space="preserve">NEAC to test the </w:t>
      </w:r>
      <w:r w:rsidR="00F263C8">
        <w:rPr>
          <w:color w:val="000000" w:themeColor="text1"/>
        </w:rPr>
        <w:t xml:space="preserve">MRINZ </w:t>
      </w:r>
      <w:r>
        <w:rPr>
          <w:color w:val="000000" w:themeColor="text1"/>
        </w:rPr>
        <w:t xml:space="preserve">ICU matrix through </w:t>
      </w:r>
      <w:r w:rsidR="00BC21B3">
        <w:rPr>
          <w:color w:val="000000" w:themeColor="text1"/>
        </w:rPr>
        <w:t>its Decision</w:t>
      </w:r>
      <w:r w:rsidR="00C764C7">
        <w:rPr>
          <w:color w:val="000000" w:themeColor="text1"/>
        </w:rPr>
        <w:t>-</w:t>
      </w:r>
      <w:r w:rsidR="00BC21B3">
        <w:rPr>
          <w:color w:val="000000" w:themeColor="text1"/>
        </w:rPr>
        <w:t>Making Framework</w:t>
      </w:r>
      <w:r w:rsidR="002F26D5">
        <w:rPr>
          <w:color w:val="000000" w:themeColor="text1"/>
        </w:rPr>
        <w:t xml:space="preserve"> at its next meeting.</w:t>
      </w:r>
    </w:p>
    <w:p w14:paraId="5D80DD8A" w14:textId="5BC98AFA" w:rsidR="0090056F" w:rsidRPr="0090056F" w:rsidRDefault="0090056F" w:rsidP="0090056F">
      <w:pPr>
        <w:pStyle w:val="Heading1"/>
        <w:rPr>
          <w:b/>
          <w:bCs/>
          <w:color w:val="324F5C"/>
          <w:sz w:val="28"/>
          <w:szCs w:val="28"/>
        </w:rPr>
      </w:pPr>
      <w:bookmarkStart w:id="6" w:name="_Toc104562391"/>
      <w:r w:rsidRPr="00655344">
        <w:rPr>
          <w:b/>
          <w:bCs/>
          <w:color w:val="324F5C"/>
          <w:sz w:val="28"/>
          <w:szCs w:val="28"/>
        </w:rPr>
        <w:t>Wai 2575 – Health Services and Outcomes Inquiry</w:t>
      </w:r>
      <w:bookmarkEnd w:id="6"/>
    </w:p>
    <w:p w14:paraId="0322808E" w14:textId="41290111" w:rsidR="00C764C7" w:rsidRDefault="00C764C7" w:rsidP="001757E0">
      <w:pPr>
        <w:pStyle w:val="ListParagraph"/>
        <w:numPr>
          <w:ilvl w:val="0"/>
          <w:numId w:val="1"/>
        </w:numPr>
      </w:pPr>
      <w:r w:rsidRPr="00C764C7">
        <w:t>Three members</w:t>
      </w:r>
      <w:r>
        <w:t xml:space="preserve"> gave an update to the Committee regarding the findings of the Wai 2575 Health Services and Outcomes Inquiry, noting that they are thinking about this inquiry in relation to a presentation about indigenous populations in COVID-19 that they will be presenting at an upcoming WHO seminar. </w:t>
      </w:r>
    </w:p>
    <w:p w14:paraId="1FCC4739" w14:textId="4F4B2D58" w:rsidR="00273FF8" w:rsidRDefault="00C764C7" w:rsidP="001757E0">
      <w:pPr>
        <w:pStyle w:val="ListParagraph"/>
        <w:numPr>
          <w:ilvl w:val="0"/>
          <w:numId w:val="1"/>
        </w:numPr>
      </w:pPr>
      <w:r>
        <w:t xml:space="preserve">The scope of the inquiry was </w:t>
      </w:r>
      <w:r w:rsidR="00C16530">
        <w:t>to assess whether the Crown’s vaccination strategy</w:t>
      </w:r>
      <w:r w:rsidR="00273FF8">
        <w:t xml:space="preserve"> and November 2021 COVID</w:t>
      </w:r>
      <w:r w:rsidR="009C7621">
        <w:t>-19</w:t>
      </w:r>
      <w:r w:rsidR="00273FF8">
        <w:t xml:space="preserve"> protection framework</w:t>
      </w:r>
      <w:r w:rsidR="00C16530">
        <w:t xml:space="preserve"> had been consistent with Te Tiriti o Waitangi</w:t>
      </w:r>
      <w:r w:rsidR="00273FF8">
        <w:t xml:space="preserve"> and its principles, as well considering what is needed to ensure the Crown’s vaccination strategy and protection framework are Te Tiriti compliant. </w:t>
      </w:r>
    </w:p>
    <w:p w14:paraId="1F55FAA4" w14:textId="5B74D89E" w:rsidR="00C764C7" w:rsidRDefault="00D076F5" w:rsidP="001757E0">
      <w:pPr>
        <w:pStyle w:val="ListParagraph"/>
        <w:numPr>
          <w:ilvl w:val="0"/>
          <w:numId w:val="1"/>
        </w:numPr>
      </w:pPr>
      <w:r>
        <w:t xml:space="preserve">Some </w:t>
      </w:r>
      <w:r w:rsidR="00273FF8">
        <w:t xml:space="preserve">key issues emerged out of this inquiry: </w:t>
      </w:r>
    </w:p>
    <w:p w14:paraId="7211820F" w14:textId="7DD80B17" w:rsidR="00273FF8" w:rsidRDefault="00C16530" w:rsidP="00273FF8">
      <w:pPr>
        <w:pStyle w:val="ListParagraph"/>
        <w:numPr>
          <w:ilvl w:val="1"/>
          <w:numId w:val="1"/>
        </w:numPr>
      </w:pPr>
      <w:r>
        <w:t>a lack of data collection around the vaccine rollout for Māori and disabled people</w:t>
      </w:r>
      <w:r w:rsidR="00D076F5">
        <w:t xml:space="preserve"> (a failure of equity and protection). </w:t>
      </w:r>
    </w:p>
    <w:p w14:paraId="7CC7DFC2" w14:textId="79FFC00B" w:rsidR="00273FF8" w:rsidRDefault="00273FF8" w:rsidP="00273FF8">
      <w:pPr>
        <w:pStyle w:val="ListParagraph"/>
        <w:numPr>
          <w:ilvl w:val="1"/>
          <w:numId w:val="1"/>
        </w:numPr>
      </w:pPr>
      <w:r>
        <w:t xml:space="preserve">The Crown </w:t>
      </w:r>
      <w:r w:rsidR="00496D59">
        <w:t>decided against</w:t>
      </w:r>
      <w:r>
        <w:t xml:space="preserve"> </w:t>
      </w:r>
      <w:r w:rsidR="00496D59">
        <w:t xml:space="preserve">advice from Māori health groups, data groups and its own officials </w:t>
      </w:r>
      <w:r>
        <w:t xml:space="preserve">around aged-based sequencing for the </w:t>
      </w:r>
      <w:r w:rsidR="00D076F5">
        <w:t xml:space="preserve">vaccine rollout, </w:t>
      </w:r>
      <w:r w:rsidR="009C7621">
        <w:t>which noted</w:t>
      </w:r>
      <w:r w:rsidR="00D076F5">
        <w:t xml:space="preserve"> that Māori have a significantly younger population. As a result, </w:t>
      </w:r>
      <w:r w:rsidR="009C7621">
        <w:t>Māori were not positioned</w:t>
      </w:r>
      <w:r w:rsidR="00D076F5">
        <w:t xml:space="preserve"> well under the COVID-19 Protection Framework, as it resulted in lower levels of vaccination amongst Māori. </w:t>
      </w:r>
    </w:p>
    <w:p w14:paraId="15FCB62B" w14:textId="315FD75A" w:rsidR="00D076F5" w:rsidRDefault="00D076F5" w:rsidP="00D076F5">
      <w:pPr>
        <w:pStyle w:val="ListParagraph"/>
        <w:numPr>
          <w:ilvl w:val="1"/>
          <w:numId w:val="1"/>
        </w:numPr>
      </w:pPr>
      <w:r>
        <w:t xml:space="preserve">A lack of meaningful engagement with Māori and mahi tahi (partnership) around identifying how local assets and resources might be used, built up or deployed most effectively. </w:t>
      </w:r>
    </w:p>
    <w:p w14:paraId="07C881C9" w14:textId="18A3644A" w:rsidR="00FF500F" w:rsidRDefault="00D076F5" w:rsidP="00D076F5">
      <w:pPr>
        <w:pStyle w:val="ListParagraph"/>
        <w:numPr>
          <w:ilvl w:val="0"/>
          <w:numId w:val="1"/>
        </w:numPr>
      </w:pPr>
      <w:r>
        <w:t xml:space="preserve">The </w:t>
      </w:r>
      <w:r w:rsidR="00AF3A9B">
        <w:t>inquiry showed</w:t>
      </w:r>
      <w:r>
        <w:t xml:space="preserve"> that the Crown failed</w:t>
      </w:r>
      <w:r w:rsidR="00FF500F">
        <w:t xml:space="preserve"> to act in a way that was consistent with the principles of Te Tiriti o Waitangi. Subsequently, the Minister of Health has accepted that partnership includes tino rangatiratanga in the Māori health system. Two further Te Tiriti o Waitangi principles have been added to </w:t>
      </w:r>
      <w:r w:rsidR="00FF500F">
        <w:lastRenderedPageBreak/>
        <w:t xml:space="preserve">the framework for how the health and disability system will meet its obligations under Te Tiriti in its day-to-day work: </w:t>
      </w:r>
    </w:p>
    <w:p w14:paraId="7B173016" w14:textId="48C3D621" w:rsidR="00FF500F" w:rsidRDefault="00FF500F" w:rsidP="00FF500F">
      <w:pPr>
        <w:pStyle w:val="ListParagraph"/>
        <w:numPr>
          <w:ilvl w:val="1"/>
          <w:numId w:val="1"/>
        </w:numPr>
      </w:pPr>
      <w:r>
        <w:t>Equit</w:t>
      </w:r>
      <w:r w:rsidR="00A20B97">
        <w:t xml:space="preserve">y – in </w:t>
      </w:r>
      <w:r>
        <w:t xml:space="preserve">health </w:t>
      </w:r>
      <w:r w:rsidRPr="00A20B97">
        <w:rPr>
          <w:b/>
          <w:bCs/>
        </w:rPr>
        <w:t>outcomes</w:t>
      </w:r>
      <w:r>
        <w:t xml:space="preserve"> for Māori. </w:t>
      </w:r>
    </w:p>
    <w:p w14:paraId="51CD128D" w14:textId="25632514" w:rsidR="00FF500F" w:rsidRDefault="00FF500F" w:rsidP="00FF500F">
      <w:pPr>
        <w:pStyle w:val="ListParagraph"/>
        <w:numPr>
          <w:ilvl w:val="1"/>
          <w:numId w:val="1"/>
        </w:numPr>
      </w:pPr>
      <w:r>
        <w:t xml:space="preserve">Options - people get to </w:t>
      </w:r>
      <w:r w:rsidRPr="00A20B97">
        <w:rPr>
          <w:b/>
          <w:bCs/>
        </w:rPr>
        <w:t>choose</w:t>
      </w:r>
      <w:r>
        <w:t xml:space="preserve"> between Māori-focussed </w:t>
      </w:r>
      <w:r w:rsidR="00741840">
        <w:t xml:space="preserve">and </w:t>
      </w:r>
      <w:r>
        <w:t xml:space="preserve">delivered health services and mainstream services. </w:t>
      </w:r>
    </w:p>
    <w:p w14:paraId="75246638" w14:textId="53C8334C" w:rsidR="00FF500F" w:rsidRDefault="00741840" w:rsidP="00FF500F">
      <w:pPr>
        <w:pStyle w:val="ListParagraph"/>
        <w:numPr>
          <w:ilvl w:val="0"/>
          <w:numId w:val="1"/>
        </w:numPr>
      </w:pPr>
      <w:r>
        <w:t>The</w:t>
      </w:r>
      <w:r w:rsidR="00DD79FE">
        <w:t xml:space="preserve"> Pae Ora (Healthy Futures) Bill which creates Health New Zealand and Te Mana Hauora Māori (the Māori Health Authority)</w:t>
      </w:r>
      <w:r>
        <w:t xml:space="preserve"> was discussed</w:t>
      </w:r>
      <w:r w:rsidR="00DD79FE">
        <w:t xml:space="preserve">. This Bill has a section on Te Tiriti o Waitangi which intends to give effect to the principles of the Treaty and discusses working with Māori and delivering via Māori services. </w:t>
      </w:r>
      <w:r w:rsidR="004058C7">
        <w:t xml:space="preserve">The government’s intention is to deliver a truly indigenous health system. </w:t>
      </w:r>
    </w:p>
    <w:p w14:paraId="021DCBD8" w14:textId="1A254BD3" w:rsidR="00D41E87" w:rsidRDefault="00252AD0" w:rsidP="00FF500F">
      <w:pPr>
        <w:pStyle w:val="ListParagraph"/>
        <w:numPr>
          <w:ilvl w:val="0"/>
          <w:numId w:val="1"/>
        </w:numPr>
      </w:pPr>
      <w:r>
        <w:t>One</w:t>
      </w:r>
      <w:r w:rsidR="004058C7">
        <w:t xml:space="preserve"> member discussed reform via addressing the social determinants of health rather than directly through the health system, noting that the new policy framework for localities under the interim Māori Health Authority is intended to be wider than just health services. A new social sector commissioning framework was also noted. </w:t>
      </w:r>
    </w:p>
    <w:p w14:paraId="148C9E2C" w14:textId="278AF770" w:rsidR="00D41E87" w:rsidRPr="00201015" w:rsidRDefault="00252AD0" w:rsidP="00FF500F">
      <w:pPr>
        <w:pStyle w:val="ListParagraph"/>
        <w:numPr>
          <w:ilvl w:val="0"/>
          <w:numId w:val="1"/>
        </w:numPr>
      </w:pPr>
      <w:r w:rsidRPr="00201015">
        <w:t>Another</w:t>
      </w:r>
      <w:r w:rsidR="00D41E87" w:rsidRPr="00201015">
        <w:t xml:space="preserve"> member noted that NEAC’s previous advice around vaccine allocation had not been listened to and asked about NEAC’s role in making it public that their advice has been ignored. </w:t>
      </w:r>
    </w:p>
    <w:p w14:paraId="4C7DD155" w14:textId="7D120EB2" w:rsidR="00AA5482" w:rsidRPr="00201015" w:rsidRDefault="005E54F2" w:rsidP="00FF500F">
      <w:pPr>
        <w:pStyle w:val="ListParagraph"/>
        <w:numPr>
          <w:ilvl w:val="0"/>
          <w:numId w:val="1"/>
        </w:numPr>
      </w:pPr>
      <w:r w:rsidRPr="00201015">
        <w:t xml:space="preserve">A member suggested that NEAC could undertake an analysis of how well the Government’s response matched up to the advice that NEAC gave in their resource allocation guidelines and how NEAC, in hindsight, could have given their advice in a different way. </w:t>
      </w:r>
    </w:p>
    <w:p w14:paraId="38CABF92" w14:textId="6005F44D" w:rsidR="0059049F" w:rsidRPr="00201015" w:rsidRDefault="0059049F" w:rsidP="00FF500F">
      <w:pPr>
        <w:pStyle w:val="ListParagraph"/>
        <w:numPr>
          <w:ilvl w:val="0"/>
          <w:numId w:val="1"/>
        </w:numPr>
      </w:pPr>
      <w:r w:rsidRPr="00201015">
        <w:t xml:space="preserve">The Chair commented that para 36 of NEAC’s Terms of Reference gives room for NEAC to make comments to the media and that NEAC may wish to make more use of that. </w:t>
      </w:r>
    </w:p>
    <w:p w14:paraId="2872A1E3" w14:textId="04182A85" w:rsidR="0090056F" w:rsidRPr="0090056F" w:rsidRDefault="0090056F" w:rsidP="0090056F">
      <w:pPr>
        <w:pStyle w:val="Heading1"/>
        <w:rPr>
          <w:b/>
          <w:bCs/>
          <w:color w:val="324F5C"/>
          <w:sz w:val="28"/>
          <w:szCs w:val="28"/>
        </w:rPr>
      </w:pPr>
      <w:bookmarkStart w:id="7" w:name="_Toc104562393"/>
      <w:r w:rsidRPr="00D95E2A">
        <w:rPr>
          <w:b/>
          <w:bCs/>
          <w:color w:val="324F5C"/>
          <w:sz w:val="28"/>
          <w:szCs w:val="28"/>
        </w:rPr>
        <w:t>Presentation and update to NEAC from Minister Little’s Office</w:t>
      </w:r>
      <w:bookmarkEnd w:id="7"/>
    </w:p>
    <w:p w14:paraId="34D6D9BF" w14:textId="146A2FFF" w:rsidR="00BE610D" w:rsidRDefault="00BE610D" w:rsidP="00BE610D">
      <w:pPr>
        <w:pStyle w:val="ListParagraph"/>
        <w:numPr>
          <w:ilvl w:val="0"/>
          <w:numId w:val="1"/>
        </w:numPr>
        <w:spacing w:after="160" w:line="259" w:lineRule="auto"/>
      </w:pPr>
      <w:r w:rsidRPr="004970D9">
        <w:t xml:space="preserve">The overarching Kaupapa currently is the health reforms </w:t>
      </w:r>
      <w:r>
        <w:t>alongside the</w:t>
      </w:r>
      <w:r w:rsidRPr="006771A2">
        <w:t xml:space="preserve"> </w:t>
      </w:r>
      <w:r>
        <w:t>COVID-19 response,</w:t>
      </w:r>
      <w:r w:rsidRPr="006771A2">
        <w:t xml:space="preserve"> </w:t>
      </w:r>
      <w:r>
        <w:t>and both are likely to be priorities over the next year</w:t>
      </w:r>
      <w:r w:rsidRPr="006771A2">
        <w:t xml:space="preserve">.  </w:t>
      </w:r>
      <w:r w:rsidR="00215210">
        <w:t>Starting</w:t>
      </w:r>
      <w:r>
        <w:t xml:space="preserve"> up two new authorities,</w:t>
      </w:r>
      <w:r w:rsidRPr="006771A2">
        <w:t xml:space="preserve"> H</w:t>
      </w:r>
      <w:r>
        <w:t>ealth New Zealand</w:t>
      </w:r>
      <w:r w:rsidRPr="006771A2">
        <w:t xml:space="preserve"> and Hauora M</w:t>
      </w:r>
      <w:r>
        <w:rPr>
          <w:rFonts w:cstheme="minorHAnsi"/>
        </w:rPr>
        <w:t>ā</w:t>
      </w:r>
      <w:r w:rsidRPr="006771A2">
        <w:t>ori</w:t>
      </w:r>
      <w:r>
        <w:t xml:space="preserve"> is in progress and the reforms provide NEAC, as a national committee, an opportunity to think about where it</w:t>
      </w:r>
      <w:r w:rsidRPr="006771A2">
        <w:t xml:space="preserve"> fits in the system and </w:t>
      </w:r>
      <w:r>
        <w:t xml:space="preserve">to </w:t>
      </w:r>
      <w:r w:rsidRPr="006771A2">
        <w:t xml:space="preserve">work with </w:t>
      </w:r>
      <w:r>
        <w:t>H</w:t>
      </w:r>
      <w:r w:rsidRPr="006771A2">
        <w:t>ealth N</w:t>
      </w:r>
      <w:r>
        <w:t xml:space="preserve">ew </w:t>
      </w:r>
      <w:r w:rsidRPr="006771A2">
        <w:t>Z</w:t>
      </w:r>
      <w:r>
        <w:t>ealand</w:t>
      </w:r>
      <w:r w:rsidRPr="006771A2">
        <w:t>.  T</w:t>
      </w:r>
      <w:r>
        <w:t>ier</w:t>
      </w:r>
      <w:r w:rsidRPr="006771A2">
        <w:t xml:space="preserve"> 1 priorities </w:t>
      </w:r>
      <w:r>
        <w:t xml:space="preserve">within the reform </w:t>
      </w:r>
      <w:r w:rsidRPr="006771A2">
        <w:t>are</w:t>
      </w:r>
      <w:r>
        <w:t xml:space="preserve">: supporting the health </w:t>
      </w:r>
      <w:r w:rsidRPr="006771A2">
        <w:t xml:space="preserve">workforce, </w:t>
      </w:r>
      <w:r>
        <w:t xml:space="preserve">delivering </w:t>
      </w:r>
      <w:r w:rsidRPr="006771A2">
        <w:t>infrastructure (</w:t>
      </w:r>
      <w:r>
        <w:t xml:space="preserve">not </w:t>
      </w:r>
      <w:r w:rsidRPr="006771A2">
        <w:t>only bricks and mortar</w:t>
      </w:r>
      <w:r>
        <w:t xml:space="preserve"> facilities but including data and digital infrastructure</w:t>
      </w:r>
      <w:r w:rsidRPr="006771A2">
        <w:t>), mental health</w:t>
      </w:r>
      <w:r>
        <w:t xml:space="preserve"> and, underpinning all that we do rather than a singular priority, </w:t>
      </w:r>
      <w:r w:rsidRPr="006771A2">
        <w:t>M</w:t>
      </w:r>
      <w:r>
        <w:rPr>
          <w:rFonts w:cstheme="minorHAnsi"/>
        </w:rPr>
        <w:t>ā</w:t>
      </w:r>
      <w:r w:rsidRPr="006771A2">
        <w:t>ori and equity in the health system</w:t>
      </w:r>
      <w:r>
        <w:t>.</w:t>
      </w:r>
    </w:p>
    <w:p w14:paraId="0F77140E" w14:textId="72D31C0F" w:rsidR="008E1CFD" w:rsidRDefault="00BE610D" w:rsidP="008E1CFD">
      <w:pPr>
        <w:pStyle w:val="ListParagraph"/>
        <w:numPr>
          <w:ilvl w:val="0"/>
          <w:numId w:val="1"/>
        </w:numPr>
        <w:spacing w:after="160" w:line="259" w:lineRule="auto"/>
      </w:pPr>
      <w:r>
        <w:t xml:space="preserve">NEAC noted it has had a brief introduction into the legislation that will govern the health reform and noted that one of the Committee’s discussion points in regard to the reform has been around its functions of engagement and consultation and who it might approach at a national or local level to engage with on what it does. The advisor explained that as a </w:t>
      </w:r>
      <w:r w:rsidRPr="006771A2">
        <w:t>default</w:t>
      </w:r>
      <w:r>
        <w:t xml:space="preserve">, </w:t>
      </w:r>
      <w:r w:rsidRPr="006771A2">
        <w:t xml:space="preserve">agencies and </w:t>
      </w:r>
      <w:r>
        <w:t xml:space="preserve">local </w:t>
      </w:r>
      <w:r w:rsidRPr="006771A2">
        <w:t>bodies</w:t>
      </w:r>
      <w:r>
        <w:t xml:space="preserve"> are being asked</w:t>
      </w:r>
      <w:r w:rsidRPr="006771A2">
        <w:t xml:space="preserve"> to have an early conversation with H</w:t>
      </w:r>
      <w:r>
        <w:t>ealth New Zealand</w:t>
      </w:r>
      <w:r w:rsidRPr="006771A2">
        <w:t xml:space="preserve"> and Hauora M</w:t>
      </w:r>
      <w:r>
        <w:rPr>
          <w:rFonts w:cstheme="minorHAnsi"/>
        </w:rPr>
        <w:t>ā</w:t>
      </w:r>
      <w:r w:rsidRPr="006771A2">
        <w:t>ori</w:t>
      </w:r>
      <w:r>
        <w:t xml:space="preserve"> who are keen for discussion about their journey within the reforms.</w:t>
      </w:r>
      <w:r w:rsidRPr="006771A2">
        <w:t xml:space="preserve">  </w:t>
      </w:r>
      <w:r w:rsidRPr="00707E91">
        <w:t>A proactive thing for NEAC to do is work with HNZ and Hauora M</w:t>
      </w:r>
      <w:r w:rsidR="00A90242">
        <w:t>ā</w:t>
      </w:r>
      <w:r w:rsidRPr="00707E91">
        <w:t xml:space="preserve">ori to understand day to day and how they </w:t>
      </w:r>
      <w:r w:rsidR="008E1CFD" w:rsidRPr="00707E91">
        <w:t>work,</w:t>
      </w:r>
      <w:r w:rsidRPr="00707E91">
        <w:t xml:space="preserve"> and the Ministry is currently engaging with/reaching out to the M</w:t>
      </w:r>
      <w:r w:rsidR="00A90242">
        <w:t>ā</w:t>
      </w:r>
      <w:r w:rsidRPr="00707E91">
        <w:t>ori Health Authority.</w:t>
      </w:r>
    </w:p>
    <w:p w14:paraId="7EE9D1D9" w14:textId="53971BDE" w:rsidR="008E1CFD" w:rsidRDefault="008E1CFD" w:rsidP="008E1CFD">
      <w:pPr>
        <w:pStyle w:val="ListParagraph"/>
        <w:numPr>
          <w:ilvl w:val="0"/>
          <w:numId w:val="1"/>
        </w:numPr>
        <w:spacing w:after="160" w:line="259" w:lineRule="auto"/>
      </w:pPr>
      <w:r>
        <w:t>A member also noted that from a community perspective it would be really helpful to see c</w:t>
      </w:r>
      <w:r w:rsidRPr="006771A2">
        <w:t xml:space="preserve">ommunication and engagement more planned.  </w:t>
      </w:r>
      <w:r>
        <w:t>For example, it would be h</w:t>
      </w:r>
      <w:r w:rsidRPr="006771A2">
        <w:t xml:space="preserve">elpful </w:t>
      </w:r>
      <w:r>
        <w:t>for</w:t>
      </w:r>
      <w:r w:rsidRPr="006771A2">
        <w:t xml:space="preserve"> communit</w:t>
      </w:r>
      <w:r>
        <w:t>ies</w:t>
      </w:r>
      <w:r w:rsidRPr="006771A2">
        <w:t xml:space="preserve"> to have one place </w:t>
      </w:r>
      <w:r>
        <w:t xml:space="preserve">to go to where they can access information about </w:t>
      </w:r>
      <w:r w:rsidRPr="006771A2">
        <w:t xml:space="preserve">where consultation is happening and what is going on. Some shared support and expertise </w:t>
      </w:r>
      <w:r>
        <w:t xml:space="preserve">could also be provided </w:t>
      </w:r>
      <w:r w:rsidRPr="006771A2">
        <w:t xml:space="preserve">to scale up and coordinate </w:t>
      </w:r>
      <w:r>
        <w:t>t</w:t>
      </w:r>
      <w:r w:rsidRPr="006771A2">
        <w:t>o get best engagement with whana</w:t>
      </w:r>
      <w:r>
        <w:t>u and iwi.</w:t>
      </w:r>
    </w:p>
    <w:p w14:paraId="1EC069C2" w14:textId="77777777" w:rsidR="00BE610D" w:rsidRDefault="00BE610D" w:rsidP="00BE610D">
      <w:pPr>
        <w:pStyle w:val="ListParagraph"/>
        <w:numPr>
          <w:ilvl w:val="0"/>
          <w:numId w:val="1"/>
        </w:numPr>
        <w:spacing w:after="160" w:line="259" w:lineRule="auto"/>
      </w:pPr>
      <w:r>
        <w:t>The Minister is keen for sub agencies within the health sector to negotiate relationships on their own initiative with the key players in the health sector and be able to work out how they can add value. This is an initiative NEAC can take with the help of the secretariat and the Transition Unit to help find its place in the new system.  The NEAC secretariat can look to set up regular schedule of the transition unit meeting NEAC.</w:t>
      </w:r>
    </w:p>
    <w:p w14:paraId="56A605DA" w14:textId="25B54312" w:rsidR="00BE610D" w:rsidRDefault="00BE610D" w:rsidP="00BE610D">
      <w:pPr>
        <w:pStyle w:val="ListParagraph"/>
        <w:numPr>
          <w:ilvl w:val="0"/>
          <w:numId w:val="1"/>
        </w:numPr>
        <w:spacing w:after="160" w:line="259" w:lineRule="auto"/>
      </w:pPr>
      <w:r>
        <w:t>A committee member noted some of the challenges in the data and digital space and that NEAC has some involvement in data and digital work through its Health and Disability Research ethical standards.  The Ministerial Advisor noted that it is</w:t>
      </w:r>
      <w:r w:rsidRPr="006771A2">
        <w:t xml:space="preserve"> also a priority of the</w:t>
      </w:r>
      <w:r>
        <w:t xml:space="preserve"> Prime </w:t>
      </w:r>
      <w:r w:rsidR="00A90242">
        <w:t>M</w:t>
      </w:r>
      <w:r>
        <w:t xml:space="preserve">inister’s </w:t>
      </w:r>
      <w:r w:rsidRPr="006771A2">
        <w:t xml:space="preserve">office to highlight what is being done </w:t>
      </w:r>
      <w:r>
        <w:t xml:space="preserve">this </w:t>
      </w:r>
      <w:r w:rsidRPr="006771A2">
        <w:t>space</w:t>
      </w:r>
      <w:r>
        <w:t xml:space="preserve"> in a way</w:t>
      </w:r>
      <w:r w:rsidRPr="006771A2">
        <w:t xml:space="preserve"> that </w:t>
      </w:r>
      <w:r>
        <w:t xml:space="preserve">respects </w:t>
      </w:r>
      <w:r w:rsidRPr="006771A2">
        <w:t>privacy but also benefit</w:t>
      </w:r>
      <w:r>
        <w:t>s</w:t>
      </w:r>
      <w:r w:rsidRPr="006771A2">
        <w:t xml:space="preserve"> health outcome</w:t>
      </w:r>
      <w:r>
        <w:t xml:space="preserve">s for New Zealanders and </w:t>
      </w:r>
      <w:r w:rsidRPr="00707E91">
        <w:t>any work that NEAC can do in this space would be greatly appreciated</w:t>
      </w:r>
      <w:r>
        <w:t xml:space="preserve">. Data and digital conflicts are </w:t>
      </w:r>
      <w:r>
        <w:lastRenderedPageBreak/>
        <w:t>important on a national scale and the office would rely on the Ministry of Health to identify and monitor issues and report back so that the Minister can address them.</w:t>
      </w:r>
    </w:p>
    <w:p w14:paraId="3A3B55E3" w14:textId="77777777" w:rsidR="00BE610D" w:rsidRDefault="00BE610D" w:rsidP="00BE610D">
      <w:pPr>
        <w:pStyle w:val="ListParagraph"/>
        <w:numPr>
          <w:ilvl w:val="0"/>
          <w:numId w:val="1"/>
        </w:numPr>
        <w:spacing w:after="160" w:line="259" w:lineRule="auto"/>
      </w:pPr>
      <w:r>
        <w:t xml:space="preserve">A member noted the equity lens across all that we do in the health system and noted that the COVID-19 pandemic has exposed weaknesses in the system for the disabled population. The Ministry for Disability appears to only deal with groups the state supports through disability services and does not cover all disabled groups. The member asked how information about equity with a disability lens is being included in the system.  </w:t>
      </w:r>
      <w:r w:rsidRPr="006771A2">
        <w:t xml:space="preserve"> </w:t>
      </w:r>
      <w:r>
        <w:t xml:space="preserve">The advisor noted that the </w:t>
      </w:r>
      <w:r w:rsidRPr="006771A2">
        <w:t xml:space="preserve">Minister’s expectation for </w:t>
      </w:r>
      <w:r>
        <w:t>Health New Zealand</w:t>
      </w:r>
      <w:r w:rsidRPr="006771A2">
        <w:t xml:space="preserve"> is that</w:t>
      </w:r>
      <w:r>
        <w:t xml:space="preserve"> it will</w:t>
      </w:r>
      <w:r w:rsidRPr="006771A2">
        <w:t xml:space="preserve"> have disability voices and capability within itself and </w:t>
      </w:r>
      <w:r>
        <w:t xml:space="preserve">within </w:t>
      </w:r>
      <w:r w:rsidRPr="006771A2">
        <w:t>the new Ministry</w:t>
      </w:r>
      <w:r>
        <w:t xml:space="preserve"> for Disability</w:t>
      </w:r>
      <w:r w:rsidRPr="006771A2">
        <w:t xml:space="preserve">. </w:t>
      </w:r>
      <w:r>
        <w:t>W</w:t>
      </w:r>
      <w:r w:rsidRPr="006771A2">
        <w:t>ork is being done</w:t>
      </w:r>
      <w:r>
        <w:t xml:space="preserve"> on an incremental, sustainable basis</w:t>
      </w:r>
      <w:r w:rsidRPr="006771A2">
        <w:t xml:space="preserve"> to include </w:t>
      </w:r>
      <w:r>
        <w:t xml:space="preserve">the </w:t>
      </w:r>
      <w:r w:rsidRPr="006771A2">
        <w:t>unique needs and aspirations of different groups</w:t>
      </w:r>
      <w:r>
        <w:t xml:space="preserve"> and, on a day-to-day basis, not just for sweeping events like pandemics. </w:t>
      </w:r>
    </w:p>
    <w:p w14:paraId="115AA934" w14:textId="77777777" w:rsidR="00BE610D" w:rsidRDefault="00BE610D" w:rsidP="00BE610D">
      <w:pPr>
        <w:pStyle w:val="ListParagraph"/>
        <w:numPr>
          <w:ilvl w:val="0"/>
          <w:numId w:val="1"/>
        </w:numPr>
        <w:spacing w:after="160" w:line="259" w:lineRule="auto"/>
      </w:pPr>
      <w:r>
        <w:t>A member noted that o</w:t>
      </w:r>
      <w:r w:rsidRPr="006771A2">
        <w:t>ne of the issues NEAC</w:t>
      </w:r>
      <w:r>
        <w:t xml:space="preserve"> is</w:t>
      </w:r>
      <w:r w:rsidRPr="006771A2">
        <w:t xml:space="preserve"> thinking about </w:t>
      </w:r>
      <w:r>
        <w:t>in the context of its function of</w:t>
      </w:r>
      <w:r w:rsidRPr="006771A2">
        <w:t xml:space="preserve"> setting</w:t>
      </w:r>
      <w:r>
        <w:t xml:space="preserve"> ethical</w:t>
      </w:r>
      <w:r w:rsidRPr="006771A2">
        <w:t xml:space="preserve"> standards for research in </w:t>
      </w:r>
      <w:r>
        <w:t>New Zealand is health workforce</w:t>
      </w:r>
      <w:r w:rsidRPr="006771A2">
        <w:t xml:space="preserve">. Across </w:t>
      </w:r>
      <w:r>
        <w:t>New Zealand,</w:t>
      </w:r>
      <w:r w:rsidRPr="006771A2">
        <w:t xml:space="preserve"> one way </w:t>
      </w:r>
      <w:r>
        <w:t xml:space="preserve">the workforce is </w:t>
      </w:r>
      <w:r w:rsidRPr="006771A2">
        <w:t xml:space="preserve">supported is through clinical advisory groups nested in DHBs.  </w:t>
      </w:r>
      <w:r>
        <w:t>One of the things NEAC could consider is whether it c</w:t>
      </w:r>
      <w:r w:rsidRPr="006771A2">
        <w:t xml:space="preserve">ould play a resourcing role in those groups.  </w:t>
      </w:r>
      <w:r>
        <w:t>This is one way that NEAC could progress work at a national level that is f</w:t>
      </w:r>
      <w:r w:rsidRPr="006771A2">
        <w:t>eed</w:t>
      </w:r>
      <w:r>
        <w:t>ing</w:t>
      </w:r>
      <w:r w:rsidRPr="006771A2">
        <w:t xml:space="preserve"> into work</w:t>
      </w:r>
      <w:r>
        <w:t>force</w:t>
      </w:r>
      <w:r w:rsidRPr="006771A2">
        <w:t xml:space="preserve"> </w:t>
      </w:r>
      <w:r>
        <w:t>organised under a</w:t>
      </w:r>
      <w:r w:rsidRPr="006771A2">
        <w:t xml:space="preserve"> central agency</w:t>
      </w:r>
      <w:r>
        <w:t>.</w:t>
      </w:r>
      <w:r w:rsidRPr="006771A2">
        <w:t xml:space="preserve">  </w:t>
      </w:r>
      <w:r>
        <w:t xml:space="preserve">The advisor noted that as workforce is a priority for the Minister any work NEAC could do to support the workforce would be well-received. </w:t>
      </w:r>
      <w:r w:rsidRPr="006771A2">
        <w:t xml:space="preserve"> </w:t>
      </w:r>
      <w:r>
        <w:t xml:space="preserve">NEAC will prioritise feedback from the advisor about workforce into its framework. </w:t>
      </w:r>
    </w:p>
    <w:p w14:paraId="5E19EB28" w14:textId="4F90BBF9" w:rsidR="00BE610D" w:rsidRDefault="00BE610D" w:rsidP="00BE610D">
      <w:pPr>
        <w:pStyle w:val="ListParagraph"/>
        <w:numPr>
          <w:ilvl w:val="0"/>
          <w:numId w:val="1"/>
        </w:numPr>
        <w:spacing w:after="160" w:line="259" w:lineRule="auto"/>
      </w:pPr>
      <w:r>
        <w:t xml:space="preserve">A member asked whether there might be opportunity for a closer </w:t>
      </w:r>
      <w:r w:rsidRPr="006771A2">
        <w:t>connection for work of NEAC with Minister</w:t>
      </w:r>
      <w:r>
        <w:t xml:space="preserve"> through improved consultation between the Ministry and NEAC so that the Minister might get an advance on issues and ways of doing this were discussed.  The advisor noted that he would be happy to progress this further in discussion with Ministry officials about how </w:t>
      </w:r>
      <w:r w:rsidR="00AB6D2C">
        <w:t>relationships might be strengthened</w:t>
      </w:r>
      <w:r>
        <w:t xml:space="preserve">. </w:t>
      </w:r>
      <w:r w:rsidRPr="006771A2">
        <w:t xml:space="preserve">   </w:t>
      </w:r>
    </w:p>
    <w:p w14:paraId="235F515F" w14:textId="77777777" w:rsidR="00BE610D" w:rsidRDefault="00BE610D" w:rsidP="00BE610D">
      <w:pPr>
        <w:pStyle w:val="ListParagraph"/>
        <w:numPr>
          <w:ilvl w:val="0"/>
          <w:numId w:val="1"/>
        </w:numPr>
        <w:spacing w:after="160" w:line="259" w:lineRule="auto"/>
      </w:pPr>
      <w:r>
        <w:t xml:space="preserve">The advisor noted that he would be interested to hear back from NEAC about how the new reform is working and how NEAC’s functions are fitting in to help show how the different bodies and committees are working together. </w:t>
      </w:r>
    </w:p>
    <w:p w14:paraId="1AC17C4F" w14:textId="77777777" w:rsidR="00BE610D" w:rsidRPr="0090056F" w:rsidRDefault="00BE610D" w:rsidP="00BE610D">
      <w:pPr>
        <w:pStyle w:val="Heading2"/>
        <w:rPr>
          <w:b/>
          <w:bCs/>
          <w:color w:val="324F5C"/>
        </w:rPr>
      </w:pPr>
      <w:r w:rsidRPr="00D537DE">
        <w:rPr>
          <w:b/>
          <w:bCs/>
          <w:color w:val="324F5C"/>
        </w:rPr>
        <w:t>Actions</w:t>
      </w:r>
    </w:p>
    <w:p w14:paraId="0BCAB187" w14:textId="77777777" w:rsidR="00BE610D" w:rsidRDefault="00BE610D" w:rsidP="00BE610D">
      <w:pPr>
        <w:pStyle w:val="ListParagraph"/>
        <w:numPr>
          <w:ilvl w:val="0"/>
          <w:numId w:val="8"/>
        </w:numPr>
        <w:spacing w:after="160" w:line="259" w:lineRule="auto"/>
      </w:pPr>
      <w:r w:rsidRPr="00AA0C67">
        <w:t>NEAC to consider the advisor’s feedback about workforce and data and digital and prioritise this in its decision</w:t>
      </w:r>
      <w:r>
        <w:t>-</w:t>
      </w:r>
      <w:r w:rsidRPr="00AA0C67">
        <w:t>making framework.</w:t>
      </w:r>
    </w:p>
    <w:p w14:paraId="7A093ED0" w14:textId="1A914B51" w:rsidR="00BE610D" w:rsidRDefault="00BE610D" w:rsidP="00BE610D">
      <w:pPr>
        <w:pStyle w:val="ListParagraph"/>
        <w:numPr>
          <w:ilvl w:val="0"/>
          <w:numId w:val="8"/>
        </w:numPr>
        <w:spacing w:after="160" w:line="259" w:lineRule="auto"/>
      </w:pPr>
      <w:r>
        <w:t xml:space="preserve">NEAC secretariat to look to set up a regular schedule of the Transition Unit meeting </w:t>
      </w:r>
      <w:r w:rsidR="0098232D">
        <w:t xml:space="preserve">with </w:t>
      </w:r>
      <w:r>
        <w:t>NEAC.</w:t>
      </w:r>
    </w:p>
    <w:p w14:paraId="4FBBA94C" w14:textId="5149A4EB" w:rsidR="00BE610D" w:rsidRPr="00AA0C67" w:rsidRDefault="00BE610D" w:rsidP="00BE610D">
      <w:pPr>
        <w:pStyle w:val="ListParagraph"/>
        <w:numPr>
          <w:ilvl w:val="0"/>
          <w:numId w:val="8"/>
        </w:numPr>
        <w:spacing w:after="160" w:line="259" w:lineRule="auto"/>
      </w:pPr>
      <w:r>
        <w:t xml:space="preserve">NEAC secretariat to meet with advisors from Minister Little’s office about </w:t>
      </w:r>
      <w:r w:rsidR="00AB6D2C">
        <w:t xml:space="preserve">how relationships might be improved. </w:t>
      </w:r>
    </w:p>
    <w:p w14:paraId="72B96D63" w14:textId="2DDAA7CA" w:rsidR="0090056F" w:rsidRPr="0090056F" w:rsidRDefault="0090056F" w:rsidP="0090056F">
      <w:pPr>
        <w:pStyle w:val="Heading1"/>
        <w:rPr>
          <w:b/>
          <w:bCs/>
          <w:color w:val="324F5C"/>
          <w:sz w:val="28"/>
          <w:szCs w:val="28"/>
        </w:rPr>
      </w:pPr>
      <w:bookmarkStart w:id="8" w:name="_Toc104562395"/>
      <w:r w:rsidRPr="00577E39">
        <w:rPr>
          <w:b/>
          <w:bCs/>
          <w:color w:val="324F5C"/>
          <w:sz w:val="28"/>
          <w:szCs w:val="28"/>
        </w:rPr>
        <w:t>Presentation to NEAC about health security and equity</w:t>
      </w:r>
      <w:bookmarkEnd w:id="8"/>
    </w:p>
    <w:p w14:paraId="4585093B" w14:textId="77777777" w:rsidR="00C13E01" w:rsidRPr="00E10889" w:rsidRDefault="00C13E01" w:rsidP="00C13E01">
      <w:pPr>
        <w:pStyle w:val="ListParagraph"/>
        <w:numPr>
          <w:ilvl w:val="0"/>
          <w:numId w:val="28"/>
        </w:numPr>
        <w:spacing w:after="160" w:line="252" w:lineRule="auto"/>
        <w:rPr>
          <w:rFonts w:eastAsia="Times New Roman"/>
        </w:rPr>
      </w:pPr>
      <w:bookmarkStart w:id="9" w:name="_Toc104562397"/>
      <w:r w:rsidRPr="00E10889">
        <w:rPr>
          <w:rFonts w:eastAsia="Times New Roman"/>
        </w:rPr>
        <w:t xml:space="preserve">Health security is an international term used by WHO. The Interim Public Health Agency has been working collaboratively to determine what health security means for Aotearoa, New Zealand.  </w:t>
      </w:r>
    </w:p>
    <w:p w14:paraId="307CB467" w14:textId="3C22D129" w:rsidR="00C13E01" w:rsidRPr="00E10889" w:rsidRDefault="00C13E01" w:rsidP="00337BFD">
      <w:pPr>
        <w:pStyle w:val="ListParagraph"/>
        <w:numPr>
          <w:ilvl w:val="0"/>
          <w:numId w:val="28"/>
        </w:numPr>
        <w:spacing w:after="160" w:line="252" w:lineRule="auto"/>
        <w:rPr>
          <w:rFonts w:eastAsia="Times New Roman"/>
        </w:rPr>
      </w:pPr>
      <w:r w:rsidRPr="00E10889">
        <w:rPr>
          <w:rFonts w:eastAsia="Times New Roman"/>
        </w:rPr>
        <w:t>Internationally, the main global instrument for promoting health security is the International Health Regulations (IHR), which provide countries with the framework for what needs to be in place to prevent, respond and recover from pandemics.  The IHR monitoring and evaluation framework includes a joint external evaluation (JEE) and, in 2018 before the COVID-19 pandemic, Aotearoa New Zealand completed its first JEE in partnership with the WHO. Specific recommendations were agreed on how we could improve our health security.  As a result of the JEE, it was recognised that wider thinking about what health security means for Aotearoa NZ was needed rather than only responding to the technical aspects of the WHO tool.  For example, equity hardly featured in the tool</w:t>
      </w:r>
      <w:r w:rsidR="00E10889" w:rsidRPr="00E10889">
        <w:rPr>
          <w:rFonts w:eastAsia="Times New Roman"/>
        </w:rPr>
        <w:t xml:space="preserve">. </w:t>
      </w:r>
      <w:r w:rsidRPr="00E10889">
        <w:rPr>
          <w:rFonts w:eastAsia="Times New Roman"/>
        </w:rPr>
        <w:t xml:space="preserve">Work on framing health security in Aotearoa, NZ has been a staged journey so far and has included: a wānanga held in August 2021 with internal and external stakeholders on health security and Te Tiriti o Waitangi. A series of internal conversations on health security and equity that NEAC members have contributed to has also taken place along with work on what health security for various threats might look like. The discussions were very valuable in terms of broadening thinking.  </w:t>
      </w:r>
    </w:p>
    <w:p w14:paraId="3B2198F4" w14:textId="77777777" w:rsidR="00C13E01" w:rsidRPr="00E10889" w:rsidRDefault="00C13E01" w:rsidP="00C13E01">
      <w:pPr>
        <w:pStyle w:val="ListParagraph"/>
        <w:numPr>
          <w:ilvl w:val="0"/>
          <w:numId w:val="28"/>
        </w:numPr>
        <w:spacing w:after="160" w:line="252" w:lineRule="auto"/>
        <w:rPr>
          <w:rFonts w:eastAsia="Times New Roman"/>
          <w:color w:val="FF0000"/>
        </w:rPr>
      </w:pPr>
      <w:r w:rsidRPr="00E10889">
        <w:rPr>
          <w:rFonts w:eastAsia="Times New Roman"/>
        </w:rPr>
        <w:t>Out of wānanga conversations a proposed definition for health security is that: Health security in Aotearoa is about protecting our people, communities and their whakapapa from threats to health and this is part of achieving Pae Ora.</w:t>
      </w:r>
    </w:p>
    <w:p w14:paraId="12F591B3" w14:textId="77777777" w:rsidR="00C13E01" w:rsidRPr="00E10889" w:rsidRDefault="00C13E01" w:rsidP="00C13E01">
      <w:pPr>
        <w:pStyle w:val="ListParagraph"/>
        <w:numPr>
          <w:ilvl w:val="0"/>
          <w:numId w:val="28"/>
        </w:numPr>
        <w:spacing w:after="160" w:line="252" w:lineRule="auto"/>
        <w:rPr>
          <w:rFonts w:eastAsia="Times New Roman"/>
          <w:color w:val="FF0000"/>
        </w:rPr>
      </w:pPr>
      <w:r w:rsidRPr="00E10889">
        <w:rPr>
          <w:rFonts w:eastAsia="Times New Roman"/>
        </w:rPr>
        <w:lastRenderedPageBreak/>
        <w:t>Some of the other key points drawn from the wānanga conversations are that we need to strongly recognise the relationship between environment and health, listen to communities and particularly those who have been underserved by the system, to design a health system that works for all and that places people at the centre of the health and disability ecosystem and, embed kaitiakitanga and stewardship.  Health security needs to happen at a systems level and at a community level.</w:t>
      </w:r>
    </w:p>
    <w:p w14:paraId="34CE46F1" w14:textId="77777777" w:rsidR="00C13E01" w:rsidRPr="00E10889" w:rsidRDefault="00C13E01" w:rsidP="00C13E01">
      <w:pPr>
        <w:pStyle w:val="ListParagraph"/>
        <w:numPr>
          <w:ilvl w:val="0"/>
          <w:numId w:val="28"/>
        </w:numPr>
        <w:spacing w:after="160" w:line="252" w:lineRule="auto"/>
        <w:rPr>
          <w:rFonts w:eastAsia="Times New Roman"/>
          <w:color w:val="FF0000"/>
        </w:rPr>
      </w:pPr>
      <w:r w:rsidRPr="00E10889">
        <w:rPr>
          <w:rFonts w:eastAsia="Times New Roman"/>
        </w:rPr>
        <w:t xml:space="preserve">The strong messages were that embedding equity in health security requires: embedding relationships, effective communication and, quality data for all population groups (which the disabled community have strongly flagged with the Ministry) to plan and respond to threats we face. </w:t>
      </w:r>
    </w:p>
    <w:p w14:paraId="688452A8" w14:textId="77777777" w:rsidR="00C13E01" w:rsidRPr="00E10889" w:rsidRDefault="00C13E01" w:rsidP="00C13E01">
      <w:pPr>
        <w:pStyle w:val="ListParagraph"/>
        <w:numPr>
          <w:ilvl w:val="0"/>
          <w:numId w:val="28"/>
        </w:numPr>
        <w:spacing w:after="160" w:line="252" w:lineRule="auto"/>
        <w:rPr>
          <w:rFonts w:eastAsia="Times New Roman"/>
        </w:rPr>
      </w:pPr>
      <w:r w:rsidRPr="00E10889">
        <w:rPr>
          <w:rFonts w:eastAsia="Times New Roman"/>
        </w:rPr>
        <w:t>The Committee noted it is mindful of the inequities with pandemics where social response is not embedded in planning and welcomes the Pae ora commissioning work and how it might link into the localities planning and how we join up social determinants of health thinking to improve the health of local populations.</w:t>
      </w:r>
    </w:p>
    <w:p w14:paraId="3763DF55" w14:textId="77777777" w:rsidR="00C13E01" w:rsidRPr="00E10889" w:rsidRDefault="00C13E01" w:rsidP="00C13E01">
      <w:pPr>
        <w:pStyle w:val="ListParagraph"/>
        <w:numPr>
          <w:ilvl w:val="0"/>
          <w:numId w:val="28"/>
        </w:numPr>
        <w:spacing w:after="160" w:line="252" w:lineRule="auto"/>
        <w:rPr>
          <w:rFonts w:eastAsia="Times New Roman"/>
        </w:rPr>
      </w:pPr>
      <w:r w:rsidRPr="00E10889">
        <w:rPr>
          <w:rFonts w:eastAsia="Times New Roman"/>
        </w:rPr>
        <w:t>The Committee noted the effects of COVID-19 and long COVID-19 are not yet known and in disabled communities there is talk of a “disability tsunami” that we won’t be equipped to cope with. This work on health security allows us to think in advance about the populations and communities in New Zealand and the kind of threats we might face and the things we can have in place based on learnings especially learnings from the COVID-19 pandemic.</w:t>
      </w:r>
    </w:p>
    <w:p w14:paraId="0D7B93BA" w14:textId="77777777" w:rsidR="00C13E01" w:rsidRPr="00E10889" w:rsidRDefault="00C13E01" w:rsidP="00C13E01">
      <w:pPr>
        <w:pStyle w:val="Heading2"/>
        <w:rPr>
          <w:rFonts w:ascii="Calibri" w:eastAsia="Times New Roman" w:hAnsi="Calibri" w:cs="Calibri"/>
          <w:b/>
          <w:bCs/>
          <w:color w:val="324F5C"/>
          <w:sz w:val="20"/>
          <w:szCs w:val="20"/>
        </w:rPr>
      </w:pPr>
      <w:r w:rsidRPr="00E10889">
        <w:rPr>
          <w:rFonts w:ascii="Calibri" w:eastAsia="Times New Roman" w:hAnsi="Calibri" w:cs="Calibri"/>
          <w:b/>
          <w:bCs/>
          <w:color w:val="324F5C"/>
          <w:sz w:val="20"/>
          <w:szCs w:val="20"/>
        </w:rPr>
        <w:t>Actions</w:t>
      </w:r>
    </w:p>
    <w:p w14:paraId="58DF03DC" w14:textId="77777777" w:rsidR="00C13E01" w:rsidRPr="00E10889" w:rsidRDefault="00C13E01" w:rsidP="00C13E01">
      <w:pPr>
        <w:pStyle w:val="ListParagraph"/>
        <w:numPr>
          <w:ilvl w:val="0"/>
          <w:numId w:val="29"/>
        </w:numPr>
        <w:spacing w:after="160" w:line="252" w:lineRule="auto"/>
        <w:rPr>
          <w:rFonts w:ascii="Calibri" w:eastAsia="Times New Roman" w:hAnsi="Calibri" w:cs="Calibri"/>
        </w:rPr>
      </w:pPr>
      <w:r w:rsidRPr="00E10889">
        <w:rPr>
          <w:rFonts w:eastAsia="Times New Roman"/>
        </w:rPr>
        <w:t xml:space="preserve">Secretariat to share slides with NEAC for comment from members. </w:t>
      </w:r>
    </w:p>
    <w:p w14:paraId="7EA3FF16" w14:textId="46B1D993" w:rsidR="00C13E01" w:rsidRPr="00E10889" w:rsidRDefault="00C13E01" w:rsidP="00C13E01">
      <w:pPr>
        <w:pStyle w:val="ListParagraph"/>
        <w:numPr>
          <w:ilvl w:val="0"/>
          <w:numId w:val="29"/>
        </w:numPr>
        <w:spacing w:after="160" w:line="252" w:lineRule="auto"/>
        <w:rPr>
          <w:rFonts w:eastAsia="Times New Roman"/>
        </w:rPr>
      </w:pPr>
      <w:r w:rsidRPr="00E10889">
        <w:rPr>
          <w:rFonts w:eastAsia="Times New Roman"/>
        </w:rPr>
        <w:t>Secretariat to facilitate further shared discussion between NEAC members and the Manatū Hauora staff working on health security</w:t>
      </w:r>
    </w:p>
    <w:p w14:paraId="562A7FC5" w14:textId="2B81D9D1" w:rsidR="0090056F" w:rsidRPr="0090056F" w:rsidRDefault="0090056F" w:rsidP="0090056F">
      <w:pPr>
        <w:pStyle w:val="Heading1"/>
        <w:rPr>
          <w:b/>
          <w:bCs/>
          <w:color w:val="324F5C"/>
          <w:sz w:val="28"/>
          <w:szCs w:val="28"/>
        </w:rPr>
      </w:pPr>
      <w:r>
        <w:rPr>
          <w:b/>
          <w:bCs/>
          <w:color w:val="324F5C"/>
          <w:sz w:val="28"/>
          <w:szCs w:val="28"/>
        </w:rPr>
        <w:t>Framework for NEAC decision</w:t>
      </w:r>
      <w:r w:rsidR="00C764C7">
        <w:rPr>
          <w:b/>
          <w:bCs/>
          <w:color w:val="324F5C"/>
          <w:sz w:val="28"/>
          <w:szCs w:val="28"/>
        </w:rPr>
        <w:t>-</w:t>
      </w:r>
      <w:r>
        <w:rPr>
          <w:b/>
          <w:bCs/>
          <w:color w:val="324F5C"/>
          <w:sz w:val="28"/>
          <w:szCs w:val="28"/>
        </w:rPr>
        <w:t>making and prioritisation</w:t>
      </w:r>
      <w:bookmarkEnd w:id="9"/>
    </w:p>
    <w:p w14:paraId="03E3947F" w14:textId="7162032E" w:rsidR="00546EBB" w:rsidRPr="00F46841" w:rsidRDefault="00F2181C" w:rsidP="00546EBB">
      <w:pPr>
        <w:pStyle w:val="ListParagraph"/>
        <w:numPr>
          <w:ilvl w:val="0"/>
          <w:numId w:val="1"/>
        </w:numPr>
        <w:jc w:val="both"/>
        <w:rPr>
          <w:color w:val="FF0000"/>
        </w:rPr>
      </w:pPr>
      <w:r w:rsidRPr="00F2181C">
        <w:rPr>
          <w:color w:val="000000" w:themeColor="text1"/>
        </w:rPr>
        <w:t>NEA</w:t>
      </w:r>
      <w:r>
        <w:rPr>
          <w:color w:val="000000" w:themeColor="text1"/>
        </w:rPr>
        <w:t xml:space="preserve">C discussed </w:t>
      </w:r>
      <w:r w:rsidR="00403DE5">
        <w:rPr>
          <w:color w:val="000000" w:themeColor="text1"/>
        </w:rPr>
        <w:t>its</w:t>
      </w:r>
      <w:r>
        <w:rPr>
          <w:color w:val="000000" w:themeColor="text1"/>
        </w:rPr>
        <w:t xml:space="preserve"> proposed </w:t>
      </w:r>
      <w:r w:rsidR="00466076">
        <w:rPr>
          <w:color w:val="000000" w:themeColor="text1"/>
        </w:rPr>
        <w:t>D</w:t>
      </w:r>
      <w:r>
        <w:rPr>
          <w:color w:val="000000" w:themeColor="text1"/>
        </w:rPr>
        <w:t>ecision</w:t>
      </w:r>
      <w:r w:rsidR="00C764C7">
        <w:rPr>
          <w:color w:val="000000" w:themeColor="text1"/>
        </w:rPr>
        <w:t>-</w:t>
      </w:r>
      <w:r w:rsidR="00466076">
        <w:rPr>
          <w:color w:val="000000" w:themeColor="text1"/>
        </w:rPr>
        <w:t>M</w:t>
      </w:r>
      <w:r>
        <w:rPr>
          <w:color w:val="000000" w:themeColor="text1"/>
        </w:rPr>
        <w:t xml:space="preserve">aking </w:t>
      </w:r>
      <w:r w:rsidR="00466076">
        <w:rPr>
          <w:color w:val="000000" w:themeColor="text1"/>
        </w:rPr>
        <w:t>F</w:t>
      </w:r>
      <w:r>
        <w:rPr>
          <w:color w:val="000000" w:themeColor="text1"/>
        </w:rPr>
        <w:t>ramework</w:t>
      </w:r>
      <w:r w:rsidR="00466076">
        <w:rPr>
          <w:color w:val="000000" w:themeColor="text1"/>
        </w:rPr>
        <w:t xml:space="preserve"> (the Framework</w:t>
      </w:r>
      <w:r w:rsidR="001F61FC">
        <w:rPr>
          <w:color w:val="000000" w:themeColor="text1"/>
        </w:rPr>
        <w:t>)</w:t>
      </w:r>
      <w:r w:rsidR="00E672B5">
        <w:rPr>
          <w:color w:val="000000" w:themeColor="text1"/>
        </w:rPr>
        <w:t>,</w:t>
      </w:r>
      <w:r w:rsidR="007C26F1">
        <w:rPr>
          <w:color w:val="000000" w:themeColor="text1"/>
        </w:rPr>
        <w:t xml:space="preserve"> which had been updated by the Secretariat</w:t>
      </w:r>
      <w:r w:rsidR="002558AA">
        <w:rPr>
          <w:color w:val="000000" w:themeColor="text1"/>
        </w:rPr>
        <w:t xml:space="preserve"> </w:t>
      </w:r>
      <w:r w:rsidR="007C26F1">
        <w:rPr>
          <w:color w:val="000000" w:themeColor="text1"/>
        </w:rPr>
        <w:t>following</w:t>
      </w:r>
      <w:r w:rsidR="002558AA">
        <w:rPr>
          <w:color w:val="000000" w:themeColor="text1"/>
        </w:rPr>
        <w:t xml:space="preserve"> </w:t>
      </w:r>
      <w:r w:rsidR="00185B68">
        <w:rPr>
          <w:color w:val="000000" w:themeColor="text1"/>
        </w:rPr>
        <w:t>discussion</w:t>
      </w:r>
      <w:r w:rsidR="007C26F1">
        <w:rPr>
          <w:color w:val="000000" w:themeColor="text1"/>
        </w:rPr>
        <w:t xml:space="preserve"> at NEAC’s meeting on 24 March 2022.</w:t>
      </w:r>
      <w:r w:rsidR="001F61FC">
        <w:rPr>
          <w:color w:val="000000" w:themeColor="text1"/>
        </w:rPr>
        <w:t xml:space="preserve"> The purpose of the </w:t>
      </w:r>
      <w:r w:rsidR="00466076">
        <w:rPr>
          <w:color w:val="000000" w:themeColor="text1"/>
        </w:rPr>
        <w:t>F</w:t>
      </w:r>
      <w:r w:rsidR="001F61FC">
        <w:rPr>
          <w:color w:val="000000" w:themeColor="text1"/>
        </w:rPr>
        <w:t xml:space="preserve">ramework </w:t>
      </w:r>
      <w:r w:rsidR="003A3C50">
        <w:rPr>
          <w:color w:val="000000" w:themeColor="text1"/>
        </w:rPr>
        <w:t>is to assist NEAC in deciding which items it should prioritise in its work programme.</w:t>
      </w:r>
    </w:p>
    <w:p w14:paraId="7D1231B6" w14:textId="141856DE" w:rsidR="00F46841" w:rsidRPr="00546EBB" w:rsidRDefault="00F46841" w:rsidP="00546EBB">
      <w:pPr>
        <w:pStyle w:val="ListParagraph"/>
        <w:numPr>
          <w:ilvl w:val="0"/>
          <w:numId w:val="1"/>
        </w:numPr>
        <w:jc w:val="both"/>
        <w:rPr>
          <w:color w:val="FF0000"/>
        </w:rPr>
      </w:pPr>
      <w:r>
        <w:rPr>
          <w:color w:val="000000" w:themeColor="text1"/>
        </w:rPr>
        <w:t>Members provided minor feedback on the Framework for the Secretariat to action.</w:t>
      </w:r>
    </w:p>
    <w:p w14:paraId="2A706D55" w14:textId="7E61F244" w:rsidR="00D30399" w:rsidRPr="00D30399" w:rsidRDefault="00546EBB" w:rsidP="00D30399">
      <w:pPr>
        <w:pStyle w:val="ListParagraph"/>
        <w:numPr>
          <w:ilvl w:val="0"/>
          <w:numId w:val="1"/>
        </w:numPr>
        <w:jc w:val="both"/>
        <w:rPr>
          <w:color w:val="FF0000"/>
        </w:rPr>
      </w:pPr>
      <w:r>
        <w:rPr>
          <w:color w:val="000000" w:themeColor="text1"/>
        </w:rPr>
        <w:t>A</w:t>
      </w:r>
      <w:r w:rsidR="003D5CD4">
        <w:rPr>
          <w:color w:val="000000" w:themeColor="text1"/>
        </w:rPr>
        <w:t>s raised earlier in the meeting, a</w:t>
      </w:r>
      <w:r>
        <w:rPr>
          <w:color w:val="000000" w:themeColor="text1"/>
        </w:rPr>
        <w:t xml:space="preserve"> member </w:t>
      </w:r>
      <w:r w:rsidR="00411E7C">
        <w:rPr>
          <w:color w:val="000000" w:themeColor="text1"/>
        </w:rPr>
        <w:t>noted</w:t>
      </w:r>
      <w:r>
        <w:rPr>
          <w:color w:val="000000" w:themeColor="text1"/>
        </w:rPr>
        <w:t xml:space="preserve"> the importance of clarifying NEAC</w:t>
      </w:r>
      <w:r w:rsidR="000D2168">
        <w:rPr>
          <w:color w:val="000000" w:themeColor="text1"/>
        </w:rPr>
        <w:t xml:space="preserve">’s statutory functions and scope </w:t>
      </w:r>
      <w:r w:rsidR="00185B68">
        <w:rPr>
          <w:color w:val="000000" w:themeColor="text1"/>
        </w:rPr>
        <w:t>to make</w:t>
      </w:r>
      <w:r w:rsidR="000D2168">
        <w:rPr>
          <w:color w:val="000000" w:themeColor="text1"/>
        </w:rPr>
        <w:t xml:space="preserve"> clear the distinction between research and practical ethics. </w:t>
      </w:r>
      <w:r w:rsidR="00713EEF">
        <w:rPr>
          <w:color w:val="000000" w:themeColor="text1"/>
        </w:rPr>
        <w:t xml:space="preserve">She noted that the Framework currently only refers to research standards – </w:t>
      </w:r>
      <w:r w:rsidR="0056142D">
        <w:rPr>
          <w:color w:val="000000" w:themeColor="text1"/>
        </w:rPr>
        <w:t xml:space="preserve">NEAC’s </w:t>
      </w:r>
      <w:r w:rsidR="0056142D" w:rsidRPr="0056142D">
        <w:rPr>
          <w:i/>
          <w:iCs/>
          <w:color w:val="000000" w:themeColor="text1"/>
        </w:rPr>
        <w:t>National Ethical Standards for Health and Disability Research and Quality Improvement, 2019</w:t>
      </w:r>
      <w:r w:rsidR="0056142D">
        <w:rPr>
          <w:color w:val="000000" w:themeColor="text1"/>
        </w:rPr>
        <w:t xml:space="preserve">. However, </w:t>
      </w:r>
      <w:r w:rsidR="006A621B">
        <w:rPr>
          <w:color w:val="000000" w:themeColor="text1"/>
        </w:rPr>
        <w:t>NEAC is responsible not only for oversight of the Health and Disability Ethics Committees (HDECs), but also clinical ethics advisory groups in New Zealand</w:t>
      </w:r>
      <w:r w:rsidR="00D30399" w:rsidRPr="00D30399">
        <w:rPr>
          <w:color w:val="000000" w:themeColor="text1"/>
        </w:rPr>
        <w:t xml:space="preserve"> </w:t>
      </w:r>
      <w:r w:rsidR="00D30399">
        <w:rPr>
          <w:color w:val="000000" w:themeColor="text1"/>
        </w:rPr>
        <w:t>that provide support and advice to health professionals on ethical issues arising from clinical practice or patient care.</w:t>
      </w:r>
    </w:p>
    <w:p w14:paraId="2F251DBE" w14:textId="0B248A07" w:rsidR="00EF6BD7" w:rsidRPr="00EF6BD7" w:rsidRDefault="00EF6BD7" w:rsidP="001564F3">
      <w:pPr>
        <w:pStyle w:val="ListParagraph"/>
        <w:numPr>
          <w:ilvl w:val="0"/>
          <w:numId w:val="1"/>
        </w:numPr>
        <w:jc w:val="both"/>
        <w:rPr>
          <w:color w:val="FF0000"/>
        </w:rPr>
      </w:pPr>
      <w:r>
        <w:rPr>
          <w:color w:val="000000" w:themeColor="text1"/>
        </w:rPr>
        <w:t xml:space="preserve">The Chair also noted that NEAC’s Terms of Reference </w:t>
      </w:r>
      <w:r w:rsidR="00A82F08">
        <w:rPr>
          <w:color w:val="000000" w:themeColor="text1"/>
        </w:rPr>
        <w:t>specifically refers to</w:t>
      </w:r>
      <w:r>
        <w:rPr>
          <w:color w:val="000000" w:themeColor="text1"/>
        </w:rPr>
        <w:t xml:space="preserve"> </w:t>
      </w:r>
      <w:r w:rsidR="00914043">
        <w:rPr>
          <w:color w:val="000000" w:themeColor="text1"/>
        </w:rPr>
        <w:t>health and disability ‘</w:t>
      </w:r>
      <w:r>
        <w:rPr>
          <w:color w:val="000000" w:themeColor="text1"/>
        </w:rPr>
        <w:t>services</w:t>
      </w:r>
      <w:r w:rsidR="00914043">
        <w:rPr>
          <w:color w:val="000000" w:themeColor="text1"/>
        </w:rPr>
        <w:t xml:space="preserve">’ </w:t>
      </w:r>
      <w:r>
        <w:rPr>
          <w:color w:val="000000" w:themeColor="text1"/>
        </w:rPr>
        <w:t xml:space="preserve">as well as </w:t>
      </w:r>
      <w:r w:rsidR="00914043">
        <w:rPr>
          <w:color w:val="000000" w:themeColor="text1"/>
        </w:rPr>
        <w:t>‘</w:t>
      </w:r>
      <w:r w:rsidR="00796648">
        <w:rPr>
          <w:color w:val="000000" w:themeColor="text1"/>
        </w:rPr>
        <w:t>research</w:t>
      </w:r>
      <w:r w:rsidR="00914043">
        <w:rPr>
          <w:color w:val="000000" w:themeColor="text1"/>
        </w:rPr>
        <w:t xml:space="preserve">’ </w:t>
      </w:r>
      <w:r w:rsidR="00D30399">
        <w:rPr>
          <w:color w:val="000000" w:themeColor="text1"/>
        </w:rPr>
        <w:t>with regards to</w:t>
      </w:r>
      <w:r w:rsidR="00914043">
        <w:rPr>
          <w:color w:val="000000" w:themeColor="text1"/>
        </w:rPr>
        <w:t xml:space="preserve"> its statutory functions. </w:t>
      </w:r>
    </w:p>
    <w:p w14:paraId="3A6815BF" w14:textId="4E6206D6" w:rsidR="00D30399" w:rsidRPr="00DD52E6" w:rsidRDefault="00ED1A1D" w:rsidP="00D30399">
      <w:pPr>
        <w:pStyle w:val="ListParagraph"/>
        <w:numPr>
          <w:ilvl w:val="0"/>
          <w:numId w:val="1"/>
        </w:numPr>
        <w:jc w:val="both"/>
        <w:rPr>
          <w:color w:val="FF0000"/>
        </w:rPr>
      </w:pPr>
      <w:r>
        <w:rPr>
          <w:color w:val="000000" w:themeColor="text1"/>
        </w:rPr>
        <w:t xml:space="preserve">A member also noted that the Health Research Council (HRC) is focused on </w:t>
      </w:r>
      <w:r w:rsidR="00D30399">
        <w:rPr>
          <w:color w:val="000000" w:themeColor="text1"/>
        </w:rPr>
        <w:t xml:space="preserve">health and disability </w:t>
      </w:r>
      <w:r>
        <w:rPr>
          <w:color w:val="000000" w:themeColor="text1"/>
        </w:rPr>
        <w:t xml:space="preserve">research so there is some overlap </w:t>
      </w:r>
      <w:r w:rsidR="00D30399">
        <w:rPr>
          <w:color w:val="000000" w:themeColor="text1"/>
        </w:rPr>
        <w:t>of</w:t>
      </w:r>
      <w:r>
        <w:rPr>
          <w:color w:val="000000" w:themeColor="text1"/>
        </w:rPr>
        <w:t xml:space="preserve"> oversight from NEAC and the HRC; however, there is no overlap in terms of</w:t>
      </w:r>
      <w:r w:rsidR="00D30399">
        <w:rPr>
          <w:color w:val="000000" w:themeColor="text1"/>
        </w:rPr>
        <w:t xml:space="preserve"> oversight of</w:t>
      </w:r>
      <w:r>
        <w:rPr>
          <w:color w:val="000000" w:themeColor="text1"/>
        </w:rPr>
        <w:t xml:space="preserve"> </w:t>
      </w:r>
      <w:r w:rsidR="00D30399">
        <w:rPr>
          <w:color w:val="000000" w:themeColor="text1"/>
        </w:rPr>
        <w:t xml:space="preserve">health and disability </w:t>
      </w:r>
      <w:r>
        <w:rPr>
          <w:color w:val="000000" w:themeColor="text1"/>
        </w:rPr>
        <w:t xml:space="preserve">services. </w:t>
      </w:r>
      <w:r w:rsidR="00185B68">
        <w:rPr>
          <w:color w:val="000000" w:themeColor="text1"/>
        </w:rPr>
        <w:t xml:space="preserve">It was </w:t>
      </w:r>
      <w:r w:rsidR="00D30399">
        <w:rPr>
          <w:color w:val="000000" w:themeColor="text1"/>
        </w:rPr>
        <w:t xml:space="preserve">noted that </w:t>
      </w:r>
      <w:r w:rsidR="00185B68">
        <w:rPr>
          <w:color w:val="000000" w:themeColor="text1"/>
        </w:rPr>
        <w:t xml:space="preserve">NEAC </w:t>
      </w:r>
      <w:r w:rsidR="00604955">
        <w:rPr>
          <w:color w:val="000000" w:themeColor="text1"/>
        </w:rPr>
        <w:t xml:space="preserve">should </w:t>
      </w:r>
      <w:r w:rsidR="00D30399" w:rsidRPr="00DD52E6">
        <w:rPr>
          <w:color w:val="000000" w:themeColor="text1"/>
        </w:rPr>
        <w:t xml:space="preserve">meet with the HRC </w:t>
      </w:r>
      <w:r w:rsidR="00604955">
        <w:rPr>
          <w:color w:val="000000" w:themeColor="text1"/>
        </w:rPr>
        <w:t xml:space="preserve">to determine </w:t>
      </w:r>
      <w:r w:rsidR="0044761B">
        <w:rPr>
          <w:color w:val="000000" w:themeColor="text1"/>
        </w:rPr>
        <w:t>the level of</w:t>
      </w:r>
      <w:r w:rsidR="00D30399" w:rsidRPr="00DD52E6">
        <w:rPr>
          <w:color w:val="000000" w:themeColor="text1"/>
        </w:rPr>
        <w:t xml:space="preserve"> </w:t>
      </w:r>
      <w:r w:rsidR="00604955">
        <w:rPr>
          <w:color w:val="000000" w:themeColor="text1"/>
        </w:rPr>
        <w:t>overlap</w:t>
      </w:r>
      <w:r w:rsidR="00D30399" w:rsidRPr="00DD52E6">
        <w:rPr>
          <w:color w:val="000000" w:themeColor="text1"/>
        </w:rPr>
        <w:t xml:space="preserve"> </w:t>
      </w:r>
      <w:r w:rsidR="0044761B">
        <w:rPr>
          <w:color w:val="000000" w:themeColor="text1"/>
        </w:rPr>
        <w:t>between NEAC and the</w:t>
      </w:r>
      <w:r w:rsidR="00D30399" w:rsidRPr="00DD52E6">
        <w:rPr>
          <w:color w:val="000000" w:themeColor="text1"/>
        </w:rPr>
        <w:t xml:space="preserve"> HRC. </w:t>
      </w:r>
    </w:p>
    <w:p w14:paraId="7D997AAE" w14:textId="348C137A" w:rsidR="00F356F4" w:rsidRPr="00D30399" w:rsidRDefault="00D30399" w:rsidP="00D30399">
      <w:pPr>
        <w:pStyle w:val="ListParagraph"/>
        <w:numPr>
          <w:ilvl w:val="0"/>
          <w:numId w:val="1"/>
        </w:numPr>
        <w:jc w:val="both"/>
        <w:rPr>
          <w:color w:val="FF0000"/>
        </w:rPr>
      </w:pPr>
      <w:r>
        <w:rPr>
          <w:color w:val="000000" w:themeColor="text1"/>
        </w:rPr>
        <w:t xml:space="preserve">A member </w:t>
      </w:r>
      <w:r w:rsidR="0044761B">
        <w:rPr>
          <w:color w:val="000000" w:themeColor="text1"/>
        </w:rPr>
        <w:t xml:space="preserve">agreed and </w:t>
      </w:r>
      <w:r>
        <w:rPr>
          <w:color w:val="000000" w:themeColor="text1"/>
        </w:rPr>
        <w:t>noted that</w:t>
      </w:r>
      <w:r w:rsidR="00185B68">
        <w:rPr>
          <w:color w:val="000000" w:themeColor="text1"/>
        </w:rPr>
        <w:t>,</w:t>
      </w:r>
      <w:r>
        <w:rPr>
          <w:color w:val="000000" w:themeColor="text1"/>
        </w:rPr>
        <w:t xml:space="preserve"> from a disability perspective</w:t>
      </w:r>
      <w:r w:rsidR="00185B68">
        <w:rPr>
          <w:color w:val="000000" w:themeColor="text1"/>
        </w:rPr>
        <w:t>,</w:t>
      </w:r>
      <w:r>
        <w:rPr>
          <w:color w:val="000000" w:themeColor="text1"/>
        </w:rPr>
        <w:t xml:space="preserve"> t</w:t>
      </w:r>
      <w:r w:rsidR="00915C38">
        <w:rPr>
          <w:color w:val="000000" w:themeColor="text1"/>
        </w:rPr>
        <w:t>he lack of oversight of clinical ethics advisory groups</w:t>
      </w:r>
      <w:r>
        <w:rPr>
          <w:color w:val="000000" w:themeColor="text1"/>
        </w:rPr>
        <w:t xml:space="preserve"> has always been an issue due to the vast variance in delivery of health and disability services and ethic</w:t>
      </w:r>
      <w:r w:rsidR="00915C38">
        <w:rPr>
          <w:color w:val="000000" w:themeColor="text1"/>
        </w:rPr>
        <w:t>s</w:t>
      </w:r>
      <w:r>
        <w:rPr>
          <w:color w:val="000000" w:themeColor="text1"/>
        </w:rPr>
        <w:t xml:space="preserve"> in delivery.</w:t>
      </w:r>
    </w:p>
    <w:p w14:paraId="7FA45190" w14:textId="58D5F9AD" w:rsidR="009C1A00" w:rsidRPr="00D30399" w:rsidRDefault="00D30399" w:rsidP="00D30399">
      <w:pPr>
        <w:pStyle w:val="ListParagraph"/>
        <w:numPr>
          <w:ilvl w:val="0"/>
          <w:numId w:val="1"/>
        </w:numPr>
        <w:jc w:val="both"/>
        <w:rPr>
          <w:color w:val="FF0000"/>
        </w:rPr>
      </w:pPr>
      <w:r>
        <w:rPr>
          <w:color w:val="000000" w:themeColor="text1"/>
        </w:rPr>
        <w:t>NEAC agreed to include ‘services’ in the Framework to clearly capture its scope.</w:t>
      </w:r>
    </w:p>
    <w:p w14:paraId="054ACD9B" w14:textId="6E9199A4" w:rsidR="00915C38" w:rsidRPr="00DF6858" w:rsidRDefault="00215652" w:rsidP="00DF6858">
      <w:pPr>
        <w:pStyle w:val="ListParagraph"/>
        <w:numPr>
          <w:ilvl w:val="0"/>
          <w:numId w:val="1"/>
        </w:numPr>
        <w:jc w:val="both"/>
        <w:rPr>
          <w:color w:val="FF0000"/>
        </w:rPr>
      </w:pPr>
      <w:r>
        <w:rPr>
          <w:color w:val="000000" w:themeColor="text1"/>
        </w:rPr>
        <w:t>NEAC t</w:t>
      </w:r>
      <w:r w:rsidR="00D30399">
        <w:rPr>
          <w:color w:val="000000" w:themeColor="text1"/>
        </w:rPr>
        <w:t xml:space="preserve">ested the Framework by running </w:t>
      </w:r>
      <w:r w:rsidR="00EE1480">
        <w:rPr>
          <w:color w:val="000000" w:themeColor="text1"/>
        </w:rPr>
        <w:t>two</w:t>
      </w:r>
      <w:r w:rsidR="00D30399">
        <w:rPr>
          <w:color w:val="000000" w:themeColor="text1"/>
        </w:rPr>
        <w:t xml:space="preserve"> of its current work programme items </w:t>
      </w:r>
      <w:r w:rsidR="00EE1480">
        <w:rPr>
          <w:color w:val="000000" w:themeColor="text1"/>
        </w:rPr>
        <w:t>through</w:t>
      </w:r>
      <w:r w:rsidR="00D30399">
        <w:rPr>
          <w:color w:val="000000" w:themeColor="text1"/>
        </w:rPr>
        <w:t xml:space="preserve"> the Framework criteria. NEAC also discussed potential items that could be added to its work programme</w:t>
      </w:r>
      <w:r w:rsidR="00915C38">
        <w:rPr>
          <w:color w:val="000000" w:themeColor="text1"/>
        </w:rPr>
        <w:t>. It was</w:t>
      </w:r>
      <w:r w:rsidR="00D30399">
        <w:rPr>
          <w:color w:val="000000" w:themeColor="text1"/>
        </w:rPr>
        <w:t xml:space="preserve"> agreed that members will </w:t>
      </w:r>
      <w:r w:rsidR="00915C38">
        <w:rPr>
          <w:color w:val="000000" w:themeColor="text1"/>
        </w:rPr>
        <w:t xml:space="preserve">individually test potential items through </w:t>
      </w:r>
      <w:r w:rsidR="00D30399">
        <w:rPr>
          <w:color w:val="000000" w:themeColor="text1"/>
        </w:rPr>
        <w:t>the Framework in their own time</w:t>
      </w:r>
      <w:r w:rsidR="00DF6858">
        <w:rPr>
          <w:color w:val="000000" w:themeColor="text1"/>
        </w:rPr>
        <w:t xml:space="preserve"> </w:t>
      </w:r>
      <w:r w:rsidR="00E4256E">
        <w:rPr>
          <w:color w:val="000000" w:themeColor="text1"/>
        </w:rPr>
        <w:t>for discussion</w:t>
      </w:r>
      <w:r w:rsidR="005508CD">
        <w:rPr>
          <w:color w:val="000000" w:themeColor="text1"/>
        </w:rPr>
        <w:t xml:space="preserve"> via an online </w:t>
      </w:r>
      <w:r w:rsidR="00291C66">
        <w:rPr>
          <w:color w:val="000000" w:themeColor="text1"/>
        </w:rPr>
        <w:t>poll tool</w:t>
      </w:r>
      <w:r w:rsidR="00E4256E">
        <w:rPr>
          <w:color w:val="000000" w:themeColor="text1"/>
        </w:rPr>
        <w:t xml:space="preserve"> at</w:t>
      </w:r>
      <w:r w:rsidR="00DF6858">
        <w:rPr>
          <w:color w:val="000000" w:themeColor="text1"/>
        </w:rPr>
        <w:t xml:space="preserve"> NEAC’s next meeting. </w:t>
      </w:r>
    </w:p>
    <w:p w14:paraId="5FE1AF2A" w14:textId="6E9DA903" w:rsidR="003A7419" w:rsidRDefault="00D1108E" w:rsidP="001564F3">
      <w:pPr>
        <w:pStyle w:val="ListParagraph"/>
        <w:numPr>
          <w:ilvl w:val="0"/>
          <w:numId w:val="1"/>
        </w:numPr>
        <w:jc w:val="both"/>
        <w:rPr>
          <w:color w:val="000000" w:themeColor="text1"/>
        </w:rPr>
      </w:pPr>
      <w:r>
        <w:rPr>
          <w:color w:val="000000" w:themeColor="text1"/>
        </w:rPr>
        <w:t xml:space="preserve">The </w:t>
      </w:r>
      <w:r w:rsidR="002476F5">
        <w:rPr>
          <w:color w:val="000000" w:themeColor="text1"/>
        </w:rPr>
        <w:t>Chair</w:t>
      </w:r>
      <w:r>
        <w:rPr>
          <w:color w:val="000000" w:themeColor="text1"/>
        </w:rPr>
        <w:t xml:space="preserve"> also</w:t>
      </w:r>
      <w:r w:rsidR="002476F5">
        <w:rPr>
          <w:color w:val="000000" w:themeColor="text1"/>
        </w:rPr>
        <w:t xml:space="preserve"> gave </w:t>
      </w:r>
      <w:r w:rsidR="00335551">
        <w:rPr>
          <w:color w:val="000000" w:themeColor="text1"/>
        </w:rPr>
        <w:t xml:space="preserve">a </w:t>
      </w:r>
      <w:r w:rsidR="002476F5">
        <w:rPr>
          <w:color w:val="000000" w:themeColor="text1"/>
        </w:rPr>
        <w:t xml:space="preserve">verbal update on </w:t>
      </w:r>
      <w:r w:rsidR="0011070F">
        <w:rPr>
          <w:color w:val="000000" w:themeColor="text1"/>
        </w:rPr>
        <w:t>an</w:t>
      </w:r>
      <w:r w:rsidR="002476F5">
        <w:rPr>
          <w:color w:val="000000" w:themeColor="text1"/>
        </w:rPr>
        <w:t xml:space="preserve"> ICU triage model</w:t>
      </w:r>
      <w:r w:rsidR="0011070F">
        <w:rPr>
          <w:color w:val="000000" w:themeColor="text1"/>
        </w:rPr>
        <w:t xml:space="preserve"> proposed by a DHB</w:t>
      </w:r>
      <w:r w:rsidR="00F46841">
        <w:rPr>
          <w:color w:val="000000" w:themeColor="text1"/>
        </w:rPr>
        <w:t>, which he has not received yet. Once received, this will be discussed at the next available NEAC meeting to determine how involved NEAC considers it should be in this matter.</w:t>
      </w:r>
    </w:p>
    <w:p w14:paraId="358C25D3" w14:textId="69082DC7" w:rsidR="0090056F" w:rsidRPr="0090056F" w:rsidRDefault="0090056F" w:rsidP="0090056F">
      <w:pPr>
        <w:pStyle w:val="Heading2"/>
        <w:rPr>
          <w:b/>
          <w:bCs/>
          <w:color w:val="324F5C"/>
        </w:rPr>
      </w:pPr>
      <w:bookmarkStart w:id="10" w:name="_Toc104562398"/>
      <w:r w:rsidRPr="0090056F">
        <w:rPr>
          <w:b/>
          <w:bCs/>
          <w:color w:val="324F5C"/>
        </w:rPr>
        <w:lastRenderedPageBreak/>
        <w:t>Actions</w:t>
      </w:r>
      <w:bookmarkEnd w:id="10"/>
    </w:p>
    <w:p w14:paraId="50A4836A" w14:textId="6BB268D5" w:rsidR="009C1A00" w:rsidRDefault="00D26A21" w:rsidP="001564F3">
      <w:pPr>
        <w:pStyle w:val="ListParagraph"/>
        <w:numPr>
          <w:ilvl w:val="0"/>
          <w:numId w:val="8"/>
        </w:numPr>
        <w:jc w:val="both"/>
        <w:rPr>
          <w:color w:val="000000" w:themeColor="text1"/>
        </w:rPr>
      </w:pPr>
      <w:r>
        <w:rPr>
          <w:color w:val="000000" w:themeColor="text1"/>
        </w:rPr>
        <w:t xml:space="preserve">Secretariat to </w:t>
      </w:r>
      <w:r w:rsidR="00F46841">
        <w:rPr>
          <w:color w:val="000000" w:themeColor="text1"/>
        </w:rPr>
        <w:t>action NEAC’s feedback on the Framework to further refine it</w:t>
      </w:r>
    </w:p>
    <w:p w14:paraId="76BD5FD5" w14:textId="6004A821" w:rsidR="006D0D43" w:rsidRDefault="006D0D43" w:rsidP="001564F3">
      <w:pPr>
        <w:pStyle w:val="ListParagraph"/>
        <w:numPr>
          <w:ilvl w:val="0"/>
          <w:numId w:val="8"/>
        </w:numPr>
        <w:jc w:val="both"/>
        <w:rPr>
          <w:color w:val="000000" w:themeColor="text1"/>
        </w:rPr>
      </w:pPr>
      <w:r>
        <w:rPr>
          <w:color w:val="000000" w:themeColor="text1"/>
        </w:rPr>
        <w:t xml:space="preserve">Secretariat to circulate an Excel spreadsheet version of the </w:t>
      </w:r>
      <w:r w:rsidR="00F46841">
        <w:rPr>
          <w:color w:val="000000" w:themeColor="text1"/>
        </w:rPr>
        <w:t>Framework</w:t>
      </w:r>
      <w:r w:rsidR="0055325B">
        <w:rPr>
          <w:color w:val="000000" w:themeColor="text1"/>
        </w:rPr>
        <w:t xml:space="preserve"> to members</w:t>
      </w:r>
    </w:p>
    <w:p w14:paraId="7A30B2A0" w14:textId="607D34CF" w:rsidR="00FE67C0" w:rsidRDefault="00196A1B" w:rsidP="001564F3">
      <w:pPr>
        <w:pStyle w:val="ListParagraph"/>
        <w:numPr>
          <w:ilvl w:val="0"/>
          <w:numId w:val="8"/>
        </w:numPr>
        <w:jc w:val="both"/>
        <w:rPr>
          <w:color w:val="000000" w:themeColor="text1"/>
        </w:rPr>
      </w:pPr>
      <w:r>
        <w:rPr>
          <w:color w:val="000000" w:themeColor="text1"/>
        </w:rPr>
        <w:t>S</w:t>
      </w:r>
      <w:r w:rsidR="00E55773">
        <w:rPr>
          <w:color w:val="000000" w:themeColor="text1"/>
        </w:rPr>
        <w:t>ecretariat to send m</w:t>
      </w:r>
      <w:r w:rsidR="00F46841">
        <w:rPr>
          <w:color w:val="000000" w:themeColor="text1"/>
        </w:rPr>
        <w:t>embers</w:t>
      </w:r>
      <w:r w:rsidR="006D0D43">
        <w:rPr>
          <w:color w:val="000000" w:themeColor="text1"/>
        </w:rPr>
        <w:t xml:space="preserve"> current and potential work programme items</w:t>
      </w:r>
      <w:r w:rsidR="00E55773">
        <w:rPr>
          <w:color w:val="000000" w:themeColor="text1"/>
        </w:rPr>
        <w:t xml:space="preserve"> for them to test</w:t>
      </w:r>
      <w:r w:rsidR="006D0D43">
        <w:rPr>
          <w:color w:val="000000" w:themeColor="text1"/>
        </w:rPr>
        <w:t xml:space="preserve"> through the </w:t>
      </w:r>
      <w:r w:rsidR="00F46841">
        <w:rPr>
          <w:color w:val="000000" w:themeColor="text1"/>
        </w:rPr>
        <w:t xml:space="preserve">Framework in their own time </w:t>
      </w:r>
      <w:r w:rsidR="006D0D43">
        <w:rPr>
          <w:color w:val="000000" w:themeColor="text1"/>
        </w:rPr>
        <w:t>for discussion at NEAC’s next meeting</w:t>
      </w:r>
    </w:p>
    <w:p w14:paraId="256FEEA5" w14:textId="135F6B22" w:rsidR="009C1A00" w:rsidRDefault="009C1A00" w:rsidP="001564F3">
      <w:pPr>
        <w:pStyle w:val="ListParagraph"/>
        <w:numPr>
          <w:ilvl w:val="0"/>
          <w:numId w:val="8"/>
        </w:numPr>
        <w:jc w:val="both"/>
        <w:rPr>
          <w:color w:val="000000" w:themeColor="text1"/>
        </w:rPr>
      </w:pPr>
      <w:r>
        <w:rPr>
          <w:color w:val="000000" w:themeColor="text1"/>
        </w:rPr>
        <w:t xml:space="preserve">NEAC to </w:t>
      </w:r>
      <w:r w:rsidR="00AB4D7A">
        <w:rPr>
          <w:color w:val="000000" w:themeColor="text1"/>
        </w:rPr>
        <w:t>finalise</w:t>
      </w:r>
      <w:r>
        <w:rPr>
          <w:color w:val="000000" w:themeColor="text1"/>
        </w:rPr>
        <w:t xml:space="preserve"> the </w:t>
      </w:r>
      <w:r w:rsidR="00E4256E">
        <w:rPr>
          <w:color w:val="000000" w:themeColor="text1"/>
        </w:rPr>
        <w:t>Framework</w:t>
      </w:r>
      <w:r>
        <w:rPr>
          <w:color w:val="000000" w:themeColor="text1"/>
        </w:rPr>
        <w:t xml:space="preserve"> </w:t>
      </w:r>
      <w:r w:rsidR="00796648">
        <w:rPr>
          <w:color w:val="000000" w:themeColor="text1"/>
        </w:rPr>
        <w:t>and</w:t>
      </w:r>
      <w:r w:rsidR="00AB4D7A">
        <w:rPr>
          <w:color w:val="000000" w:themeColor="text1"/>
        </w:rPr>
        <w:t xml:space="preserve"> </w:t>
      </w:r>
      <w:r w:rsidR="00E4256E">
        <w:rPr>
          <w:color w:val="000000" w:themeColor="text1"/>
        </w:rPr>
        <w:t xml:space="preserve">agree on </w:t>
      </w:r>
      <w:r w:rsidR="00796648">
        <w:rPr>
          <w:color w:val="000000" w:themeColor="text1"/>
        </w:rPr>
        <w:t>current and potential work programme items</w:t>
      </w:r>
      <w:r w:rsidR="00AB4D7A">
        <w:rPr>
          <w:color w:val="000000" w:themeColor="text1"/>
        </w:rPr>
        <w:t xml:space="preserve"> </w:t>
      </w:r>
      <w:r w:rsidR="00FE67C0">
        <w:rPr>
          <w:color w:val="000000" w:themeColor="text1"/>
        </w:rPr>
        <w:t xml:space="preserve">at </w:t>
      </w:r>
      <w:r w:rsidR="00AB4D7A">
        <w:rPr>
          <w:color w:val="000000" w:themeColor="text1"/>
        </w:rPr>
        <w:t>NEAC’s</w:t>
      </w:r>
      <w:r w:rsidR="00FE67C0">
        <w:rPr>
          <w:color w:val="000000" w:themeColor="text1"/>
        </w:rPr>
        <w:t xml:space="preserve"> next meeting</w:t>
      </w:r>
    </w:p>
    <w:p w14:paraId="4B614732" w14:textId="3BFF45E9" w:rsidR="00185B68" w:rsidRDefault="00185B68" w:rsidP="001564F3">
      <w:pPr>
        <w:pStyle w:val="ListParagraph"/>
        <w:numPr>
          <w:ilvl w:val="0"/>
          <w:numId w:val="8"/>
        </w:numPr>
        <w:jc w:val="both"/>
        <w:rPr>
          <w:color w:val="000000" w:themeColor="text1"/>
        </w:rPr>
      </w:pPr>
      <w:r>
        <w:rPr>
          <w:color w:val="000000" w:themeColor="text1"/>
        </w:rPr>
        <w:t>Secretariat to arrange for representatives from the HRC to attend a future NEAC meeting.</w:t>
      </w:r>
    </w:p>
    <w:p w14:paraId="4BA68D8C" w14:textId="3ADEE276" w:rsidR="0090056F" w:rsidRPr="0090056F" w:rsidRDefault="0090056F" w:rsidP="0090056F">
      <w:pPr>
        <w:pStyle w:val="Heading1"/>
        <w:rPr>
          <w:b/>
          <w:bCs/>
          <w:color w:val="324F5C"/>
          <w:sz w:val="28"/>
          <w:szCs w:val="28"/>
        </w:rPr>
      </w:pPr>
      <w:bookmarkStart w:id="11" w:name="_Toc104562399"/>
      <w:r w:rsidRPr="00CF1BC5">
        <w:rPr>
          <w:b/>
          <w:bCs/>
          <w:color w:val="324F5C"/>
          <w:sz w:val="28"/>
          <w:szCs w:val="28"/>
        </w:rPr>
        <w:t>Draft Ethical Guid</w:t>
      </w:r>
      <w:r w:rsidR="00D953E8" w:rsidRPr="00CF1BC5">
        <w:rPr>
          <w:b/>
          <w:bCs/>
          <w:color w:val="324F5C"/>
          <w:sz w:val="28"/>
          <w:szCs w:val="28"/>
        </w:rPr>
        <w:t>ance</w:t>
      </w:r>
      <w:r w:rsidRPr="00CF1BC5">
        <w:rPr>
          <w:b/>
          <w:bCs/>
          <w:color w:val="324F5C"/>
          <w:sz w:val="28"/>
          <w:szCs w:val="28"/>
        </w:rPr>
        <w:t xml:space="preserve"> for a Pandemic</w:t>
      </w:r>
      <w:bookmarkEnd w:id="11"/>
    </w:p>
    <w:p w14:paraId="5241A0B8" w14:textId="075D890C" w:rsidR="0059049F" w:rsidRDefault="00D953E8" w:rsidP="001757E0">
      <w:pPr>
        <w:pStyle w:val="ListParagraph"/>
        <w:numPr>
          <w:ilvl w:val="0"/>
          <w:numId w:val="1"/>
        </w:numPr>
      </w:pPr>
      <w:r w:rsidRPr="00D953E8">
        <w:t>The Secre</w:t>
      </w:r>
      <w:r>
        <w:t>tariat updated the Committee on the work of the EGAP subgroup in getting the consultation communications plan ready</w:t>
      </w:r>
      <w:r w:rsidR="00B46229">
        <w:t xml:space="preserve"> and explained that </w:t>
      </w:r>
      <w:r w:rsidR="007E7A65">
        <w:t>the focus group composition was yet to be agreed.</w:t>
      </w:r>
    </w:p>
    <w:p w14:paraId="2A5F3DDE" w14:textId="08C4855E" w:rsidR="007E7A65" w:rsidRDefault="007E7A65" w:rsidP="001757E0">
      <w:pPr>
        <w:pStyle w:val="ListParagraph"/>
        <w:numPr>
          <w:ilvl w:val="0"/>
          <w:numId w:val="1"/>
        </w:numPr>
      </w:pPr>
      <w:r>
        <w:t xml:space="preserve">The Secretariat advocated for focus groups to be comprised of individuals from within the same organisations in order to increase participant comfort to share their views on pandemic ethics. </w:t>
      </w:r>
      <w:r w:rsidR="00E2315D">
        <w:t>It was noted that participant organisations could be asked if there were other groups, individuals or organisations that th</w:t>
      </w:r>
      <w:r w:rsidR="003A29B9">
        <w:t xml:space="preserve">ey would like to pull into their focus group meeting, if they felt comfortable collaborating. </w:t>
      </w:r>
    </w:p>
    <w:p w14:paraId="4F910468" w14:textId="6E8C8471" w:rsidR="0090056F" w:rsidRDefault="003A29B9" w:rsidP="007B2FE8">
      <w:pPr>
        <w:pStyle w:val="ListParagraph"/>
        <w:numPr>
          <w:ilvl w:val="0"/>
          <w:numId w:val="1"/>
        </w:numPr>
      </w:pPr>
      <w:r>
        <w:t>The Committee agreed this approach on principle, and the Secretariat noted that they will finalise the consultation document</w:t>
      </w:r>
      <w:r w:rsidR="00D25A48">
        <w:t xml:space="preserve">s. A further meeting of the EGAP subgroup was suggested before launching the consultation, though it was agreed that the consultation should launch as soon as possible. </w:t>
      </w:r>
    </w:p>
    <w:p w14:paraId="1FC1D3F8" w14:textId="51B45537" w:rsidR="007B2FE8" w:rsidRPr="007B2FE8" w:rsidRDefault="007B2FE8" w:rsidP="007B2FE8">
      <w:pPr>
        <w:pStyle w:val="ListParagraph"/>
        <w:numPr>
          <w:ilvl w:val="0"/>
          <w:numId w:val="1"/>
        </w:numPr>
      </w:pPr>
      <w:r>
        <w:t>It was confirmed t</w:t>
      </w:r>
      <w:r w:rsidR="00410537">
        <w:t xml:space="preserve">hat the consultation did not need to come back to the full Committee for approval before its launch. </w:t>
      </w:r>
      <w:r>
        <w:t xml:space="preserve"> </w:t>
      </w:r>
      <w:r w:rsidR="00EF563D">
        <w:t xml:space="preserve">  </w:t>
      </w:r>
    </w:p>
    <w:p w14:paraId="33472AFA" w14:textId="77777777" w:rsidR="0090056F" w:rsidRPr="0090056F" w:rsidRDefault="0090056F" w:rsidP="0090056F">
      <w:pPr>
        <w:pStyle w:val="Heading2"/>
        <w:rPr>
          <w:b/>
          <w:bCs/>
          <w:color w:val="324F5C"/>
        </w:rPr>
      </w:pPr>
      <w:bookmarkStart w:id="12" w:name="_Toc104562400"/>
      <w:r w:rsidRPr="00451B63">
        <w:rPr>
          <w:b/>
          <w:bCs/>
          <w:color w:val="324F5C"/>
        </w:rPr>
        <w:t>Actions</w:t>
      </w:r>
      <w:bookmarkEnd w:id="12"/>
    </w:p>
    <w:p w14:paraId="49F2D4AF" w14:textId="38B05BC0" w:rsidR="0090056F" w:rsidRPr="00410537" w:rsidRDefault="007B2FE8" w:rsidP="007C77C8">
      <w:pPr>
        <w:pStyle w:val="ListParagraph"/>
        <w:numPr>
          <w:ilvl w:val="0"/>
          <w:numId w:val="8"/>
        </w:numPr>
      </w:pPr>
      <w:r w:rsidRPr="00410537">
        <w:t>Secretariat to confirm the consultation documents</w:t>
      </w:r>
    </w:p>
    <w:p w14:paraId="489B3748" w14:textId="5FDCA216" w:rsidR="00410537" w:rsidRPr="00410537" w:rsidRDefault="00410537" w:rsidP="00410537">
      <w:pPr>
        <w:pStyle w:val="ListParagraph"/>
        <w:numPr>
          <w:ilvl w:val="0"/>
          <w:numId w:val="8"/>
        </w:numPr>
      </w:pPr>
      <w:r w:rsidRPr="00410537">
        <w:t>Secretariat to launch the consultation</w:t>
      </w:r>
    </w:p>
    <w:p w14:paraId="3189F96D" w14:textId="795A60A7" w:rsidR="007C77C8" w:rsidRPr="0090056F" w:rsidRDefault="007C77C8" w:rsidP="007C77C8">
      <w:pPr>
        <w:pStyle w:val="Heading1"/>
        <w:rPr>
          <w:b/>
          <w:bCs/>
          <w:color w:val="324F5C"/>
          <w:sz w:val="28"/>
          <w:szCs w:val="28"/>
        </w:rPr>
      </w:pPr>
      <w:bookmarkStart w:id="13" w:name="_Toc104562401"/>
      <w:r w:rsidRPr="0090056F">
        <w:rPr>
          <w:b/>
          <w:bCs/>
          <w:color w:val="324F5C"/>
          <w:sz w:val="28"/>
          <w:szCs w:val="28"/>
        </w:rPr>
        <w:t xml:space="preserve">Update from Chair </w:t>
      </w:r>
      <w:r w:rsidR="0090056F">
        <w:rPr>
          <w:b/>
          <w:bCs/>
          <w:color w:val="324F5C"/>
          <w:sz w:val="28"/>
          <w:szCs w:val="28"/>
        </w:rPr>
        <w:t>of the Southern</w:t>
      </w:r>
      <w:r w:rsidRPr="0090056F">
        <w:rPr>
          <w:b/>
          <w:bCs/>
          <w:color w:val="324F5C"/>
          <w:sz w:val="28"/>
          <w:szCs w:val="28"/>
        </w:rPr>
        <w:t xml:space="preserve"> Health and Disability Ethics Committee</w:t>
      </w:r>
      <w:bookmarkEnd w:id="13"/>
      <w:r w:rsidRPr="0090056F">
        <w:rPr>
          <w:b/>
          <w:bCs/>
          <w:color w:val="324F5C"/>
          <w:sz w:val="28"/>
          <w:szCs w:val="28"/>
        </w:rPr>
        <w:t xml:space="preserve"> </w:t>
      </w:r>
    </w:p>
    <w:p w14:paraId="2F74CAF9" w14:textId="3E773F0D" w:rsidR="007C77C8" w:rsidRDefault="00750BCE" w:rsidP="001564F3">
      <w:pPr>
        <w:pStyle w:val="ListParagraph"/>
        <w:numPr>
          <w:ilvl w:val="0"/>
          <w:numId w:val="1"/>
        </w:numPr>
        <w:jc w:val="both"/>
        <w:rPr>
          <w:color w:val="000000" w:themeColor="text1"/>
        </w:rPr>
      </w:pPr>
      <w:r w:rsidRPr="00750BCE">
        <w:rPr>
          <w:color w:val="000000" w:themeColor="text1"/>
        </w:rPr>
        <w:t>The Chair of the Southern Health and Disability Ethics Committee (HDEC Chair)</w:t>
      </w:r>
      <w:r>
        <w:rPr>
          <w:color w:val="000000" w:themeColor="text1"/>
        </w:rPr>
        <w:t xml:space="preserve"> spoke to NEAC about the recent experiences of the HDECs.</w:t>
      </w:r>
    </w:p>
    <w:p w14:paraId="7FBA9AE1" w14:textId="7A398292" w:rsidR="00750BCE" w:rsidRDefault="00452EB4" w:rsidP="001564F3">
      <w:pPr>
        <w:pStyle w:val="ListParagraph"/>
        <w:numPr>
          <w:ilvl w:val="0"/>
          <w:numId w:val="1"/>
        </w:numPr>
        <w:jc w:val="both"/>
        <w:rPr>
          <w:color w:val="000000" w:themeColor="text1"/>
        </w:rPr>
      </w:pPr>
      <w:r>
        <w:rPr>
          <w:color w:val="000000" w:themeColor="text1"/>
        </w:rPr>
        <w:t xml:space="preserve">The </w:t>
      </w:r>
      <w:r w:rsidR="008300F2">
        <w:rPr>
          <w:color w:val="000000" w:themeColor="text1"/>
        </w:rPr>
        <w:t>HDEC Chair presented data on</w:t>
      </w:r>
      <w:r w:rsidR="00EA5E90">
        <w:rPr>
          <w:color w:val="000000" w:themeColor="text1"/>
        </w:rPr>
        <w:t xml:space="preserve"> the</w:t>
      </w:r>
      <w:r w:rsidR="008300F2">
        <w:rPr>
          <w:color w:val="000000" w:themeColor="text1"/>
        </w:rPr>
        <w:t xml:space="preserve"> HDEC submissions received</w:t>
      </w:r>
      <w:r w:rsidR="00EA5E90">
        <w:rPr>
          <w:color w:val="000000" w:themeColor="text1"/>
        </w:rPr>
        <w:t xml:space="preserve"> to date</w:t>
      </w:r>
      <w:r w:rsidR="008300F2">
        <w:rPr>
          <w:color w:val="000000" w:themeColor="text1"/>
        </w:rPr>
        <w:t xml:space="preserve"> in 2022 that have </w:t>
      </w:r>
      <w:r w:rsidR="00EA5E90">
        <w:rPr>
          <w:color w:val="000000" w:themeColor="text1"/>
        </w:rPr>
        <w:t>received a final approval/decision</w:t>
      </w:r>
      <w:r w:rsidR="008300F2">
        <w:rPr>
          <w:color w:val="000000" w:themeColor="text1"/>
        </w:rPr>
        <w:t xml:space="preserve">. </w:t>
      </w:r>
      <w:r w:rsidR="00EA5E90">
        <w:rPr>
          <w:color w:val="000000" w:themeColor="text1"/>
        </w:rPr>
        <w:t xml:space="preserve">It was noted that </w:t>
      </w:r>
      <w:r w:rsidR="007D3871">
        <w:rPr>
          <w:color w:val="000000" w:themeColor="text1"/>
        </w:rPr>
        <w:t>the HDECs have already received a</w:t>
      </w:r>
      <w:r w:rsidR="00EA5E90">
        <w:rPr>
          <w:color w:val="000000" w:themeColor="text1"/>
        </w:rPr>
        <w:t xml:space="preserve"> l</w:t>
      </w:r>
      <w:r w:rsidR="00753DC3">
        <w:rPr>
          <w:color w:val="000000" w:themeColor="text1"/>
        </w:rPr>
        <w:t xml:space="preserve">arge </w:t>
      </w:r>
      <w:r w:rsidR="00EA5E90">
        <w:rPr>
          <w:color w:val="000000" w:themeColor="text1"/>
        </w:rPr>
        <w:t>number</w:t>
      </w:r>
      <w:r w:rsidR="00753DC3">
        <w:rPr>
          <w:color w:val="000000" w:themeColor="text1"/>
        </w:rPr>
        <w:t xml:space="preserve"> of applications</w:t>
      </w:r>
      <w:r w:rsidR="00EA5E90">
        <w:rPr>
          <w:color w:val="000000" w:themeColor="text1"/>
        </w:rPr>
        <w:t xml:space="preserve"> this year. </w:t>
      </w:r>
    </w:p>
    <w:p w14:paraId="0BCC9198" w14:textId="332E9C8C" w:rsidR="00F04B56" w:rsidRPr="00ED34DD" w:rsidRDefault="00EA5E90" w:rsidP="00ED34DD">
      <w:pPr>
        <w:pStyle w:val="ListParagraph"/>
        <w:numPr>
          <w:ilvl w:val="0"/>
          <w:numId w:val="1"/>
        </w:numPr>
        <w:jc w:val="both"/>
        <w:rPr>
          <w:color w:val="000000" w:themeColor="text1"/>
        </w:rPr>
      </w:pPr>
      <w:r>
        <w:rPr>
          <w:color w:val="000000" w:themeColor="text1"/>
        </w:rPr>
        <w:t xml:space="preserve">The HDEC Chair also presented data on the </w:t>
      </w:r>
      <w:r w:rsidR="00611365">
        <w:rPr>
          <w:color w:val="000000" w:themeColor="text1"/>
        </w:rPr>
        <w:t xml:space="preserve">average </w:t>
      </w:r>
      <w:r w:rsidR="00ED34DD">
        <w:rPr>
          <w:color w:val="000000" w:themeColor="text1"/>
        </w:rPr>
        <w:t xml:space="preserve">range turnaround time for the </w:t>
      </w:r>
      <w:r w:rsidR="00611365" w:rsidRPr="00ED34DD">
        <w:rPr>
          <w:color w:val="000000" w:themeColor="text1"/>
        </w:rPr>
        <w:t xml:space="preserve">HDECs to </w:t>
      </w:r>
      <w:r w:rsidR="00841C29">
        <w:rPr>
          <w:color w:val="000000" w:themeColor="text1"/>
        </w:rPr>
        <w:t>process</w:t>
      </w:r>
      <w:r w:rsidR="00ED34DD">
        <w:rPr>
          <w:color w:val="000000" w:themeColor="text1"/>
        </w:rPr>
        <w:t xml:space="preserve"> </w:t>
      </w:r>
      <w:r w:rsidR="00611365" w:rsidRPr="00ED34DD">
        <w:rPr>
          <w:color w:val="000000" w:themeColor="text1"/>
        </w:rPr>
        <w:t xml:space="preserve">applications. </w:t>
      </w:r>
      <w:r w:rsidR="004D485E" w:rsidRPr="00ED34DD">
        <w:rPr>
          <w:color w:val="000000" w:themeColor="text1"/>
        </w:rPr>
        <w:t>Overall, t</w:t>
      </w:r>
      <w:r w:rsidR="00611365" w:rsidRPr="00ED34DD">
        <w:rPr>
          <w:color w:val="000000" w:themeColor="text1"/>
        </w:rPr>
        <w:t xml:space="preserve">he HDECs have been processing applications </w:t>
      </w:r>
      <w:r w:rsidR="004D485E" w:rsidRPr="00ED34DD">
        <w:rPr>
          <w:color w:val="000000" w:themeColor="text1"/>
        </w:rPr>
        <w:t>in accordance with timeframes</w:t>
      </w:r>
      <w:r w:rsidR="00841C29">
        <w:rPr>
          <w:color w:val="000000" w:themeColor="text1"/>
        </w:rPr>
        <w:t xml:space="preserve">; </w:t>
      </w:r>
      <w:r w:rsidR="004D485E" w:rsidRPr="00ED34DD">
        <w:rPr>
          <w:color w:val="000000" w:themeColor="text1"/>
        </w:rPr>
        <w:t>however, there have been a few</w:t>
      </w:r>
      <w:r w:rsidR="00611365" w:rsidRPr="00ED34DD">
        <w:rPr>
          <w:color w:val="000000" w:themeColor="text1"/>
        </w:rPr>
        <w:t xml:space="preserve"> outliers </w:t>
      </w:r>
      <w:r w:rsidR="004D485E" w:rsidRPr="00ED34DD">
        <w:rPr>
          <w:color w:val="000000" w:themeColor="text1"/>
        </w:rPr>
        <w:t xml:space="preserve">with some delayed in the full review pathway. </w:t>
      </w:r>
      <w:r w:rsidR="00841C29">
        <w:rPr>
          <w:color w:val="000000" w:themeColor="text1"/>
        </w:rPr>
        <w:t>The HDEC Chair explained that this</w:t>
      </w:r>
      <w:r w:rsidR="00F04B56" w:rsidRPr="00ED34DD">
        <w:rPr>
          <w:color w:val="000000" w:themeColor="text1"/>
        </w:rPr>
        <w:t xml:space="preserve"> was mostly due to sickness and availability of HDEC members, and researchers</w:t>
      </w:r>
      <w:r w:rsidR="002D2075" w:rsidRPr="00ED34DD">
        <w:rPr>
          <w:color w:val="000000" w:themeColor="text1"/>
        </w:rPr>
        <w:t xml:space="preserve"> </w:t>
      </w:r>
      <w:r w:rsidR="004D485E" w:rsidRPr="00ED34DD">
        <w:rPr>
          <w:color w:val="000000" w:themeColor="text1"/>
        </w:rPr>
        <w:t xml:space="preserve">incorrectly submitting documents outside of the EthicsRM portal. </w:t>
      </w:r>
    </w:p>
    <w:p w14:paraId="2056AE73" w14:textId="4F89C723" w:rsidR="002D2075" w:rsidRPr="00C3383C" w:rsidRDefault="004D485E" w:rsidP="001564F3">
      <w:pPr>
        <w:pStyle w:val="ListParagraph"/>
        <w:numPr>
          <w:ilvl w:val="0"/>
          <w:numId w:val="1"/>
        </w:numPr>
        <w:jc w:val="both"/>
        <w:rPr>
          <w:color w:val="000000" w:themeColor="text1"/>
        </w:rPr>
      </w:pPr>
      <w:r>
        <w:rPr>
          <w:color w:val="000000" w:themeColor="text1"/>
        </w:rPr>
        <w:t xml:space="preserve">The </w:t>
      </w:r>
      <w:r w:rsidR="001B522A">
        <w:rPr>
          <w:color w:val="000000" w:themeColor="text1"/>
        </w:rPr>
        <w:t>HDEC Chair</w:t>
      </w:r>
      <w:r>
        <w:rPr>
          <w:color w:val="000000" w:themeColor="text1"/>
        </w:rPr>
        <w:t xml:space="preserve"> brought NEAC’s attention to some prevalent emerging issues in the HDECs space</w:t>
      </w:r>
      <w:r w:rsidR="00C62745">
        <w:rPr>
          <w:color w:val="000000" w:themeColor="text1"/>
        </w:rPr>
        <w:t>. These were:</w:t>
      </w:r>
    </w:p>
    <w:p w14:paraId="26956920" w14:textId="1BFD7D3F" w:rsidR="00336440" w:rsidRDefault="0005535E" w:rsidP="001564F3">
      <w:pPr>
        <w:pStyle w:val="ListParagraph"/>
        <w:numPr>
          <w:ilvl w:val="1"/>
          <w:numId w:val="1"/>
        </w:numPr>
        <w:jc w:val="both"/>
        <w:rPr>
          <w:color w:val="000000" w:themeColor="text1"/>
        </w:rPr>
      </w:pPr>
      <w:r>
        <w:rPr>
          <w:color w:val="000000" w:themeColor="text1"/>
        </w:rPr>
        <w:t>Researcher</w:t>
      </w:r>
      <w:r w:rsidR="00336440">
        <w:rPr>
          <w:color w:val="000000" w:themeColor="text1"/>
        </w:rPr>
        <w:t>s adapting study advertisements aft</w:t>
      </w:r>
      <w:r w:rsidR="002E66C4">
        <w:rPr>
          <w:color w:val="000000" w:themeColor="text1"/>
        </w:rPr>
        <w:t xml:space="preserve">er approval, to emphasise the sum of reimbursement for study participation. </w:t>
      </w:r>
    </w:p>
    <w:p w14:paraId="7E8F77C5" w14:textId="181AA630" w:rsidR="00336440" w:rsidRDefault="00AB39B7" w:rsidP="001564F3">
      <w:pPr>
        <w:pStyle w:val="ListParagraph"/>
        <w:numPr>
          <w:ilvl w:val="1"/>
          <w:numId w:val="1"/>
        </w:numPr>
        <w:jc w:val="both"/>
        <w:rPr>
          <w:color w:val="000000" w:themeColor="text1"/>
        </w:rPr>
      </w:pPr>
      <w:r>
        <w:rPr>
          <w:color w:val="000000" w:themeColor="text1"/>
        </w:rPr>
        <w:t>Researche</w:t>
      </w:r>
      <w:r w:rsidR="005252B7">
        <w:rPr>
          <w:color w:val="000000" w:themeColor="text1"/>
        </w:rPr>
        <w:t>r</w:t>
      </w:r>
      <w:r>
        <w:rPr>
          <w:color w:val="000000" w:themeColor="text1"/>
        </w:rPr>
        <w:t>s citing multi-site organisational wide policy to use e-consenting</w:t>
      </w:r>
      <w:r w:rsidR="009C7DCC">
        <w:rPr>
          <w:color w:val="000000" w:themeColor="text1"/>
        </w:rPr>
        <w:t xml:space="preserve"> for participants. Originally, this was </w:t>
      </w:r>
      <w:r w:rsidR="00961EA4">
        <w:rPr>
          <w:color w:val="000000" w:themeColor="text1"/>
        </w:rPr>
        <w:t>only intended</w:t>
      </w:r>
      <w:r w:rsidR="009C7DCC">
        <w:rPr>
          <w:color w:val="000000" w:themeColor="text1"/>
        </w:rPr>
        <w:t xml:space="preserve"> for observational studies involving </w:t>
      </w:r>
      <w:r w:rsidR="007E2F50">
        <w:rPr>
          <w:color w:val="000000" w:themeColor="text1"/>
        </w:rPr>
        <w:t>adults and</w:t>
      </w:r>
      <w:r w:rsidR="009C7DCC">
        <w:rPr>
          <w:color w:val="000000" w:themeColor="text1"/>
        </w:rPr>
        <w:t xml:space="preserve"> to combat</w:t>
      </w:r>
      <w:r w:rsidR="00961EA4">
        <w:rPr>
          <w:color w:val="000000" w:themeColor="text1"/>
        </w:rPr>
        <w:t xml:space="preserve"> </w:t>
      </w:r>
      <w:r w:rsidR="009C7DCC">
        <w:rPr>
          <w:color w:val="000000" w:themeColor="text1"/>
        </w:rPr>
        <w:t>disruptions</w:t>
      </w:r>
      <w:r w:rsidR="00961EA4">
        <w:rPr>
          <w:color w:val="000000" w:themeColor="text1"/>
        </w:rPr>
        <w:t xml:space="preserve"> </w:t>
      </w:r>
      <w:r w:rsidR="009C7DCC">
        <w:rPr>
          <w:color w:val="000000" w:themeColor="text1"/>
        </w:rPr>
        <w:t>to</w:t>
      </w:r>
      <w:r w:rsidR="00961EA4">
        <w:rPr>
          <w:color w:val="000000" w:themeColor="text1"/>
        </w:rPr>
        <w:t xml:space="preserve"> </w:t>
      </w:r>
      <w:r w:rsidR="009C7DCC">
        <w:rPr>
          <w:color w:val="000000" w:themeColor="text1"/>
        </w:rPr>
        <w:t>research</w:t>
      </w:r>
      <w:r w:rsidR="00961EA4">
        <w:rPr>
          <w:color w:val="000000" w:themeColor="text1"/>
        </w:rPr>
        <w:t xml:space="preserve"> </w:t>
      </w:r>
      <w:r w:rsidR="009C7DCC">
        <w:rPr>
          <w:color w:val="000000" w:themeColor="text1"/>
        </w:rPr>
        <w:t>caused</w:t>
      </w:r>
      <w:r w:rsidR="00961EA4">
        <w:rPr>
          <w:color w:val="000000" w:themeColor="text1"/>
        </w:rPr>
        <w:t xml:space="preserve"> </w:t>
      </w:r>
      <w:r w:rsidR="009C7DCC">
        <w:rPr>
          <w:color w:val="000000" w:themeColor="text1"/>
        </w:rPr>
        <w:t>by</w:t>
      </w:r>
      <w:r w:rsidR="00961EA4">
        <w:rPr>
          <w:color w:val="000000" w:themeColor="text1"/>
        </w:rPr>
        <w:t xml:space="preserve"> </w:t>
      </w:r>
      <w:r w:rsidR="009C7DCC">
        <w:rPr>
          <w:color w:val="000000" w:themeColor="text1"/>
        </w:rPr>
        <w:t>the COVID-19 pandemic.</w:t>
      </w:r>
      <w:r w:rsidR="006472A7">
        <w:rPr>
          <w:color w:val="000000" w:themeColor="text1"/>
        </w:rPr>
        <w:t xml:space="preserve"> The HDEC Chairs</w:t>
      </w:r>
      <w:r w:rsidR="00961EA4">
        <w:rPr>
          <w:color w:val="000000" w:themeColor="text1"/>
        </w:rPr>
        <w:t xml:space="preserve"> had</w:t>
      </w:r>
      <w:r w:rsidR="006472A7">
        <w:rPr>
          <w:color w:val="000000" w:themeColor="text1"/>
        </w:rPr>
        <w:t xml:space="preserve"> agreed in principle with the researchers’ intent</w:t>
      </w:r>
      <w:r w:rsidR="00961EA4">
        <w:rPr>
          <w:color w:val="000000" w:themeColor="text1"/>
        </w:rPr>
        <w:t>;</w:t>
      </w:r>
      <w:r w:rsidR="006472A7">
        <w:rPr>
          <w:color w:val="000000" w:themeColor="text1"/>
        </w:rPr>
        <w:t xml:space="preserve"> however, on review the HDECs have been receiving </w:t>
      </w:r>
      <w:r w:rsidR="00961EA4">
        <w:rPr>
          <w:color w:val="000000" w:themeColor="text1"/>
        </w:rPr>
        <w:t>applications</w:t>
      </w:r>
      <w:r w:rsidR="006472A7">
        <w:rPr>
          <w:color w:val="000000" w:themeColor="text1"/>
        </w:rPr>
        <w:t xml:space="preserve"> </w:t>
      </w:r>
      <w:r w:rsidR="004D288D">
        <w:rPr>
          <w:color w:val="000000" w:themeColor="text1"/>
        </w:rPr>
        <w:t xml:space="preserve">where it appears researchers </w:t>
      </w:r>
      <w:r w:rsidR="00A2745E">
        <w:rPr>
          <w:color w:val="000000" w:themeColor="text1"/>
        </w:rPr>
        <w:t xml:space="preserve">have selected an e-consenting process without </w:t>
      </w:r>
      <w:r w:rsidR="00A724B7">
        <w:rPr>
          <w:color w:val="000000" w:themeColor="text1"/>
        </w:rPr>
        <w:t>clear</w:t>
      </w:r>
      <w:r w:rsidR="00A2745E">
        <w:rPr>
          <w:color w:val="000000" w:themeColor="text1"/>
        </w:rPr>
        <w:t xml:space="preserve"> opportunit</w:t>
      </w:r>
      <w:r w:rsidR="00A724B7">
        <w:rPr>
          <w:color w:val="000000" w:themeColor="text1"/>
        </w:rPr>
        <w:t>ies</w:t>
      </w:r>
      <w:r w:rsidR="00A2745E">
        <w:rPr>
          <w:color w:val="000000" w:themeColor="text1"/>
        </w:rPr>
        <w:t xml:space="preserve"> for individuals to speak one-on-one with a member of the research team. </w:t>
      </w:r>
    </w:p>
    <w:p w14:paraId="08E1BBD9" w14:textId="7181647D" w:rsidR="007E2F50" w:rsidRDefault="00B67706" w:rsidP="001564F3">
      <w:pPr>
        <w:pStyle w:val="ListParagraph"/>
        <w:numPr>
          <w:ilvl w:val="1"/>
          <w:numId w:val="1"/>
        </w:numPr>
        <w:jc w:val="both"/>
        <w:rPr>
          <w:color w:val="000000" w:themeColor="text1"/>
        </w:rPr>
      </w:pPr>
      <w:r>
        <w:rPr>
          <w:color w:val="000000" w:themeColor="text1"/>
        </w:rPr>
        <w:lastRenderedPageBreak/>
        <w:t xml:space="preserve">Recruitment of participants through </w:t>
      </w:r>
      <w:r w:rsidR="007E2F50">
        <w:rPr>
          <w:color w:val="000000" w:themeColor="text1"/>
        </w:rPr>
        <w:t>general practitioner</w:t>
      </w:r>
      <w:r w:rsidR="000F46ED">
        <w:rPr>
          <w:color w:val="000000" w:themeColor="text1"/>
        </w:rPr>
        <w:t>s’ practices and primary care</w:t>
      </w:r>
      <w:r w:rsidR="00E87C7E">
        <w:rPr>
          <w:color w:val="000000" w:themeColor="text1"/>
        </w:rPr>
        <w:t xml:space="preserve"> and the ethical consideration of </w:t>
      </w:r>
      <w:r w:rsidR="00214E87">
        <w:rPr>
          <w:color w:val="000000" w:themeColor="text1"/>
        </w:rPr>
        <w:t>how</w:t>
      </w:r>
      <w:r>
        <w:rPr>
          <w:color w:val="000000" w:themeColor="text1"/>
        </w:rPr>
        <w:t xml:space="preserve"> </w:t>
      </w:r>
      <w:r w:rsidR="00E87C7E">
        <w:rPr>
          <w:color w:val="000000" w:themeColor="text1"/>
        </w:rPr>
        <w:t xml:space="preserve">reimbursement on successful participant completion/placement </w:t>
      </w:r>
      <w:r w:rsidR="00214E87">
        <w:rPr>
          <w:color w:val="000000" w:themeColor="text1"/>
        </w:rPr>
        <w:t xml:space="preserve">affects the </w:t>
      </w:r>
      <w:r w:rsidR="00E87C7E">
        <w:rPr>
          <w:color w:val="000000" w:themeColor="text1"/>
        </w:rPr>
        <w:t xml:space="preserve">separation between the clinical team and researcher roles. </w:t>
      </w:r>
    </w:p>
    <w:p w14:paraId="14A61880" w14:textId="0BF905F3" w:rsidR="00653D2E" w:rsidRDefault="00D67787" w:rsidP="001564F3">
      <w:pPr>
        <w:pStyle w:val="ListParagraph"/>
        <w:numPr>
          <w:ilvl w:val="0"/>
          <w:numId w:val="1"/>
        </w:numPr>
        <w:jc w:val="both"/>
        <w:rPr>
          <w:color w:val="000000" w:themeColor="text1"/>
        </w:rPr>
      </w:pPr>
      <w:r>
        <w:rPr>
          <w:color w:val="000000" w:themeColor="text1"/>
        </w:rPr>
        <w:t>The HDEC Chair also outlined other r</w:t>
      </w:r>
      <w:r w:rsidR="00653D2E">
        <w:rPr>
          <w:color w:val="000000" w:themeColor="text1"/>
        </w:rPr>
        <w:t xml:space="preserve">ecurring issues </w:t>
      </w:r>
      <w:r w:rsidR="00534305">
        <w:rPr>
          <w:color w:val="000000" w:themeColor="text1"/>
        </w:rPr>
        <w:t xml:space="preserve">that the HDECs are noticing, </w:t>
      </w:r>
      <w:r w:rsidR="00313FC5">
        <w:rPr>
          <w:color w:val="000000" w:themeColor="text1"/>
        </w:rPr>
        <w:t>such as</w:t>
      </w:r>
      <w:r w:rsidR="00214E87">
        <w:rPr>
          <w:color w:val="000000" w:themeColor="text1"/>
        </w:rPr>
        <w:t>:</w:t>
      </w:r>
    </w:p>
    <w:p w14:paraId="3E8CD088" w14:textId="14D7F0DD" w:rsidR="00653D2E" w:rsidRDefault="00653D2E" w:rsidP="001564F3">
      <w:pPr>
        <w:pStyle w:val="ListParagraph"/>
        <w:numPr>
          <w:ilvl w:val="1"/>
          <w:numId w:val="1"/>
        </w:numPr>
        <w:jc w:val="both"/>
        <w:rPr>
          <w:color w:val="000000" w:themeColor="text1"/>
        </w:rPr>
      </w:pPr>
      <w:r>
        <w:rPr>
          <w:color w:val="000000" w:themeColor="text1"/>
        </w:rPr>
        <w:t>Over sampling</w:t>
      </w:r>
    </w:p>
    <w:p w14:paraId="1C847B6A" w14:textId="695B0389" w:rsidR="00653D2E" w:rsidRDefault="00653D2E" w:rsidP="001564F3">
      <w:pPr>
        <w:pStyle w:val="ListParagraph"/>
        <w:numPr>
          <w:ilvl w:val="1"/>
          <w:numId w:val="1"/>
        </w:numPr>
        <w:jc w:val="both"/>
        <w:rPr>
          <w:color w:val="000000" w:themeColor="text1"/>
        </w:rPr>
      </w:pPr>
      <w:r>
        <w:rPr>
          <w:color w:val="000000" w:themeColor="text1"/>
        </w:rPr>
        <w:t xml:space="preserve">Genetic/genomic </w:t>
      </w:r>
      <w:r w:rsidR="00214E87">
        <w:rPr>
          <w:color w:val="000000" w:themeColor="text1"/>
        </w:rPr>
        <w:t>future unspecified research</w:t>
      </w:r>
    </w:p>
    <w:p w14:paraId="573BE610" w14:textId="243A4F33" w:rsidR="00653D2E" w:rsidRDefault="00653D2E" w:rsidP="001564F3">
      <w:pPr>
        <w:pStyle w:val="ListParagraph"/>
        <w:numPr>
          <w:ilvl w:val="1"/>
          <w:numId w:val="1"/>
        </w:numPr>
        <w:jc w:val="both"/>
        <w:rPr>
          <w:color w:val="000000" w:themeColor="text1"/>
        </w:rPr>
      </w:pPr>
      <w:r>
        <w:rPr>
          <w:color w:val="000000" w:themeColor="text1"/>
        </w:rPr>
        <w:t>M</w:t>
      </w:r>
      <w:r w:rsidR="00B031C9" w:rsidRPr="00B031C9">
        <w:rPr>
          <w:rFonts w:cstheme="minorHAnsi"/>
          <w:color w:val="000000" w:themeColor="text1"/>
          <w:lang w:eastAsia="en-NZ"/>
        </w:rPr>
        <w:t>ā</w:t>
      </w:r>
      <w:r>
        <w:rPr>
          <w:color w:val="000000" w:themeColor="text1"/>
        </w:rPr>
        <w:t>ori/Pa</w:t>
      </w:r>
      <w:r w:rsidR="00B031C9">
        <w:rPr>
          <w:color w:val="000000" w:themeColor="text1"/>
        </w:rPr>
        <w:t>s</w:t>
      </w:r>
      <w:r>
        <w:rPr>
          <w:color w:val="000000" w:themeColor="text1"/>
        </w:rPr>
        <w:t>ifi</w:t>
      </w:r>
      <w:r w:rsidR="00B031C9">
        <w:rPr>
          <w:color w:val="000000" w:themeColor="text1"/>
        </w:rPr>
        <w:t>ka</w:t>
      </w:r>
      <w:r>
        <w:rPr>
          <w:color w:val="000000" w:themeColor="text1"/>
        </w:rPr>
        <w:t xml:space="preserve"> consultation</w:t>
      </w:r>
    </w:p>
    <w:p w14:paraId="28FE39FC" w14:textId="24F9B987" w:rsidR="00653D2E" w:rsidRPr="00DE604A" w:rsidRDefault="00653D2E" w:rsidP="00DE604A">
      <w:pPr>
        <w:pStyle w:val="ListParagraph"/>
        <w:numPr>
          <w:ilvl w:val="1"/>
          <w:numId w:val="1"/>
        </w:numPr>
        <w:jc w:val="both"/>
        <w:rPr>
          <w:color w:val="000000" w:themeColor="text1"/>
        </w:rPr>
      </w:pPr>
      <w:r>
        <w:rPr>
          <w:color w:val="000000" w:themeColor="text1"/>
        </w:rPr>
        <w:t>Co</w:t>
      </w:r>
      <w:r w:rsidR="00214E87">
        <w:rPr>
          <w:color w:val="000000" w:themeColor="text1"/>
        </w:rPr>
        <w:t xml:space="preserve">mpensation for </w:t>
      </w:r>
      <w:r w:rsidR="00DE604A">
        <w:rPr>
          <w:color w:val="000000" w:themeColor="text1"/>
        </w:rPr>
        <w:t>participant injuries – co</w:t>
      </w:r>
      <w:r w:rsidRPr="00DE604A">
        <w:rPr>
          <w:color w:val="000000" w:themeColor="text1"/>
        </w:rPr>
        <w:t>mmercial v</w:t>
      </w:r>
      <w:r w:rsidR="00214E87" w:rsidRPr="00DE604A">
        <w:rPr>
          <w:color w:val="000000" w:themeColor="text1"/>
        </w:rPr>
        <w:t>ersus Accident Compensation Corporation</w:t>
      </w:r>
      <w:r w:rsidR="00DE604A">
        <w:rPr>
          <w:color w:val="000000" w:themeColor="text1"/>
        </w:rPr>
        <w:t xml:space="preserve"> cover</w:t>
      </w:r>
    </w:p>
    <w:p w14:paraId="710707EF" w14:textId="31B5619D" w:rsidR="00653D2E" w:rsidRDefault="00653D2E" w:rsidP="001564F3">
      <w:pPr>
        <w:pStyle w:val="ListParagraph"/>
        <w:numPr>
          <w:ilvl w:val="1"/>
          <w:numId w:val="1"/>
        </w:numPr>
        <w:jc w:val="both"/>
        <w:rPr>
          <w:color w:val="000000" w:themeColor="text1"/>
        </w:rPr>
      </w:pPr>
      <w:r>
        <w:rPr>
          <w:color w:val="000000" w:themeColor="text1"/>
        </w:rPr>
        <w:t>Multi-Country studies</w:t>
      </w:r>
      <w:r w:rsidR="00D80BD7">
        <w:rPr>
          <w:color w:val="000000" w:themeColor="text1"/>
        </w:rPr>
        <w:t>.</w:t>
      </w:r>
    </w:p>
    <w:p w14:paraId="2FFBB693" w14:textId="068BD194" w:rsidR="00D24DBD" w:rsidRPr="00D24DBD" w:rsidRDefault="00D24DBD" w:rsidP="00D63697">
      <w:pPr>
        <w:pStyle w:val="ListParagraph"/>
        <w:numPr>
          <w:ilvl w:val="0"/>
          <w:numId w:val="1"/>
        </w:numPr>
        <w:jc w:val="both"/>
        <w:rPr>
          <w:color w:val="000000" w:themeColor="text1"/>
        </w:rPr>
      </w:pPr>
      <w:r>
        <w:rPr>
          <w:color w:val="000000" w:themeColor="text1"/>
        </w:rPr>
        <w:t xml:space="preserve">A member noted how the ethical issues relating to the HDECs are </w:t>
      </w:r>
      <w:r w:rsidR="00DE604A">
        <w:rPr>
          <w:color w:val="000000" w:themeColor="text1"/>
        </w:rPr>
        <w:t>frequently</w:t>
      </w:r>
      <w:r>
        <w:rPr>
          <w:color w:val="000000" w:themeColor="text1"/>
        </w:rPr>
        <w:t xml:space="preserve"> recurring ones. </w:t>
      </w:r>
    </w:p>
    <w:p w14:paraId="15A6FCA6" w14:textId="0C6FFF41" w:rsidR="00534305" w:rsidRDefault="00534305" w:rsidP="00D63697">
      <w:pPr>
        <w:pStyle w:val="ListParagraph"/>
        <w:numPr>
          <w:ilvl w:val="0"/>
          <w:numId w:val="1"/>
        </w:numPr>
        <w:jc w:val="both"/>
        <w:rPr>
          <w:color w:val="000000" w:themeColor="text1"/>
        </w:rPr>
      </w:pPr>
      <w:r>
        <w:rPr>
          <w:color w:val="000000" w:themeColor="text1"/>
        </w:rPr>
        <w:t xml:space="preserve">A member referred to the Standards review and asked the HDEC Chair what his perspective is on the Standards relevant to e-consenting, advertising, and recruitment, and whether those standards are </w:t>
      </w:r>
      <w:r w:rsidR="00B031C9">
        <w:rPr>
          <w:color w:val="000000" w:themeColor="text1"/>
        </w:rPr>
        <w:t>sufficiently</w:t>
      </w:r>
      <w:r>
        <w:rPr>
          <w:color w:val="000000" w:themeColor="text1"/>
        </w:rPr>
        <w:t xml:space="preserve"> strong to cover some </w:t>
      </w:r>
      <w:r w:rsidR="00B031C9">
        <w:rPr>
          <w:color w:val="000000" w:themeColor="text1"/>
        </w:rPr>
        <w:t>of</w:t>
      </w:r>
      <w:r>
        <w:rPr>
          <w:color w:val="000000" w:themeColor="text1"/>
        </w:rPr>
        <w:t xml:space="preserve"> the issues the HDECs have been experiencing. The HDEC Chair noted that the Standards are clear and </w:t>
      </w:r>
      <w:r w:rsidR="00F31A49">
        <w:rPr>
          <w:color w:val="000000" w:themeColor="text1"/>
        </w:rPr>
        <w:t>are used by the HDECs to communicate when an application does not meet minimum ethical requirements. However, he noted that researchers have</w:t>
      </w:r>
      <w:r w:rsidR="00DE604A">
        <w:rPr>
          <w:color w:val="000000" w:themeColor="text1"/>
        </w:rPr>
        <w:t>,</w:t>
      </w:r>
      <w:r w:rsidR="00F31A49">
        <w:rPr>
          <w:color w:val="000000" w:themeColor="text1"/>
        </w:rPr>
        <w:t xml:space="preserve"> on occasion</w:t>
      </w:r>
      <w:r w:rsidR="00DE604A">
        <w:rPr>
          <w:color w:val="000000" w:themeColor="text1"/>
        </w:rPr>
        <w:t>,</w:t>
      </w:r>
      <w:r w:rsidR="00F31A49">
        <w:rPr>
          <w:color w:val="000000" w:themeColor="text1"/>
        </w:rPr>
        <w:t xml:space="preserve"> attempted to work around the wording of the Standards. He advised that he </w:t>
      </w:r>
      <w:r w:rsidR="00E658BA">
        <w:rPr>
          <w:color w:val="000000" w:themeColor="text1"/>
        </w:rPr>
        <w:t>would raise this</w:t>
      </w:r>
      <w:r w:rsidR="00DE604A">
        <w:rPr>
          <w:color w:val="000000" w:themeColor="text1"/>
        </w:rPr>
        <w:t xml:space="preserve"> </w:t>
      </w:r>
      <w:r w:rsidR="00E658BA">
        <w:rPr>
          <w:color w:val="000000" w:themeColor="text1"/>
        </w:rPr>
        <w:t>with</w:t>
      </w:r>
      <w:r w:rsidR="00F31A49">
        <w:rPr>
          <w:color w:val="000000" w:themeColor="text1"/>
        </w:rPr>
        <w:t xml:space="preserve"> the HDEC Chairs</w:t>
      </w:r>
      <w:r w:rsidR="00E658BA">
        <w:rPr>
          <w:color w:val="000000" w:themeColor="text1"/>
        </w:rPr>
        <w:t xml:space="preserve"> </w:t>
      </w:r>
      <w:r w:rsidR="00F31A49">
        <w:rPr>
          <w:color w:val="000000" w:themeColor="text1"/>
        </w:rPr>
        <w:t xml:space="preserve">at their </w:t>
      </w:r>
      <w:r w:rsidR="009870DE">
        <w:rPr>
          <w:color w:val="000000" w:themeColor="text1"/>
        </w:rPr>
        <w:t>upcoming</w:t>
      </w:r>
      <w:r w:rsidR="00F31A49">
        <w:rPr>
          <w:color w:val="000000" w:themeColor="text1"/>
        </w:rPr>
        <w:t xml:space="preserve"> Chairs’ Day on 31 May 2022, and report back to NEAC. </w:t>
      </w:r>
    </w:p>
    <w:p w14:paraId="4B19BFC5" w14:textId="446364B5" w:rsidR="00D24DBD" w:rsidRDefault="00BA6BA4" w:rsidP="001564F3">
      <w:pPr>
        <w:pStyle w:val="ListParagraph"/>
        <w:numPr>
          <w:ilvl w:val="0"/>
          <w:numId w:val="1"/>
        </w:numPr>
        <w:jc w:val="both"/>
        <w:rPr>
          <w:color w:val="000000" w:themeColor="text1"/>
        </w:rPr>
      </w:pPr>
      <w:r>
        <w:rPr>
          <w:color w:val="000000" w:themeColor="text1"/>
        </w:rPr>
        <w:t xml:space="preserve">A member </w:t>
      </w:r>
      <w:r w:rsidR="001E3B81">
        <w:rPr>
          <w:color w:val="000000" w:themeColor="text1"/>
        </w:rPr>
        <w:t>raised that she had noticed</w:t>
      </w:r>
      <w:r w:rsidR="00BA6A3B">
        <w:rPr>
          <w:color w:val="000000" w:themeColor="text1"/>
        </w:rPr>
        <w:t xml:space="preserve"> that</w:t>
      </w:r>
      <w:r w:rsidR="001E3B81">
        <w:rPr>
          <w:color w:val="000000" w:themeColor="text1"/>
        </w:rPr>
        <w:t xml:space="preserve"> there is often significant use of branding on participant documentation, such as large </w:t>
      </w:r>
      <w:r w:rsidR="009870DE">
        <w:rPr>
          <w:color w:val="000000" w:themeColor="text1"/>
        </w:rPr>
        <w:t xml:space="preserve">sized </w:t>
      </w:r>
      <w:r w:rsidR="001E3B81">
        <w:rPr>
          <w:color w:val="000000" w:themeColor="text1"/>
        </w:rPr>
        <w:t xml:space="preserve">and frequent use of pharmaceutical companies’ logos. </w:t>
      </w:r>
      <w:r w:rsidR="008E4CC0">
        <w:rPr>
          <w:color w:val="000000" w:themeColor="text1"/>
        </w:rPr>
        <w:t xml:space="preserve">She raised the concern that there </w:t>
      </w:r>
      <w:r w:rsidR="009870DE">
        <w:rPr>
          <w:color w:val="000000" w:themeColor="text1"/>
        </w:rPr>
        <w:t>might be</w:t>
      </w:r>
      <w:r w:rsidR="008E4CC0">
        <w:rPr>
          <w:color w:val="000000" w:themeColor="text1"/>
        </w:rPr>
        <w:t xml:space="preserve"> subliminal </w:t>
      </w:r>
      <w:r w:rsidR="009870DE">
        <w:rPr>
          <w:color w:val="000000" w:themeColor="text1"/>
        </w:rPr>
        <w:t xml:space="preserve">influencing of </w:t>
      </w:r>
      <w:r w:rsidR="008E4CC0">
        <w:rPr>
          <w:color w:val="000000" w:themeColor="text1"/>
        </w:rPr>
        <w:t xml:space="preserve">participants, in relation to other products owned by the pharmaceutical companies. The HDEC Chair advised that he would also raise this at the </w:t>
      </w:r>
      <w:r w:rsidR="009870DE">
        <w:rPr>
          <w:color w:val="000000" w:themeColor="text1"/>
        </w:rPr>
        <w:t xml:space="preserve">upcoming </w:t>
      </w:r>
      <w:r w:rsidR="00B57D6D">
        <w:rPr>
          <w:color w:val="000000" w:themeColor="text1"/>
        </w:rPr>
        <w:t>Chairs’ Day.</w:t>
      </w:r>
    </w:p>
    <w:p w14:paraId="7D04B52E" w14:textId="30A6CFC3" w:rsidR="00534305" w:rsidRPr="00276009" w:rsidRDefault="00D24DBD" w:rsidP="001564F3">
      <w:pPr>
        <w:pStyle w:val="ListParagraph"/>
        <w:numPr>
          <w:ilvl w:val="0"/>
          <w:numId w:val="1"/>
        </w:numPr>
        <w:jc w:val="both"/>
        <w:rPr>
          <w:color w:val="000000" w:themeColor="text1"/>
        </w:rPr>
      </w:pPr>
      <w:r>
        <w:rPr>
          <w:color w:val="000000" w:themeColor="text1"/>
        </w:rPr>
        <w:t xml:space="preserve">A member asked </w:t>
      </w:r>
      <w:r w:rsidR="00F058FB">
        <w:rPr>
          <w:color w:val="000000" w:themeColor="text1"/>
        </w:rPr>
        <w:t>if the HDECs have considered any applications for studies involving emerging health technology</w:t>
      </w:r>
      <w:r w:rsidR="006B0502">
        <w:rPr>
          <w:color w:val="000000" w:themeColor="text1"/>
        </w:rPr>
        <w:t xml:space="preserve"> and if there is sufficient expertise on the HDECs for such a specialised area</w:t>
      </w:r>
      <w:r w:rsidR="00F058FB">
        <w:rPr>
          <w:color w:val="000000" w:themeColor="text1"/>
        </w:rPr>
        <w:t>.</w:t>
      </w:r>
      <w:r w:rsidR="00A13BE2">
        <w:rPr>
          <w:color w:val="000000" w:themeColor="text1"/>
        </w:rPr>
        <w:t xml:space="preserve"> The HDEC Chair advised that </w:t>
      </w:r>
      <w:r w:rsidR="007C7374">
        <w:rPr>
          <w:color w:val="000000" w:themeColor="text1"/>
        </w:rPr>
        <w:t>the Southern HDEC has seen only a few of these applications</w:t>
      </w:r>
      <w:r w:rsidR="0067255F">
        <w:rPr>
          <w:color w:val="000000" w:themeColor="text1"/>
        </w:rPr>
        <w:t xml:space="preserve">. </w:t>
      </w:r>
      <w:r w:rsidR="00BC4AC0">
        <w:rPr>
          <w:color w:val="000000" w:themeColor="text1"/>
        </w:rPr>
        <w:t>He noted that</w:t>
      </w:r>
      <w:r w:rsidR="003314A9">
        <w:rPr>
          <w:color w:val="000000" w:themeColor="text1"/>
        </w:rPr>
        <w:t xml:space="preserve"> th</w:t>
      </w:r>
      <w:r w:rsidR="00276009">
        <w:rPr>
          <w:color w:val="000000" w:themeColor="text1"/>
        </w:rPr>
        <w:t xml:space="preserve">is area is currently beyond the scope of </w:t>
      </w:r>
      <w:r w:rsidR="003314A9">
        <w:rPr>
          <w:color w:val="000000" w:themeColor="text1"/>
        </w:rPr>
        <w:t xml:space="preserve">his committee’s current </w:t>
      </w:r>
      <w:r w:rsidR="006B0502">
        <w:rPr>
          <w:color w:val="000000" w:themeColor="text1"/>
        </w:rPr>
        <w:t xml:space="preserve">member </w:t>
      </w:r>
      <w:r w:rsidR="003314A9">
        <w:rPr>
          <w:color w:val="000000" w:themeColor="text1"/>
        </w:rPr>
        <w:t>composition</w:t>
      </w:r>
      <w:r w:rsidR="00276009">
        <w:rPr>
          <w:color w:val="000000" w:themeColor="text1"/>
        </w:rPr>
        <w:t xml:space="preserve">; however, </w:t>
      </w:r>
      <w:r w:rsidR="003314A9">
        <w:rPr>
          <w:color w:val="000000" w:themeColor="text1"/>
        </w:rPr>
        <w:t xml:space="preserve">as this is an emerging area, it is something to be aware of for future recruitment of HDEC members. </w:t>
      </w:r>
      <w:r w:rsidR="00F058FB">
        <w:rPr>
          <w:color w:val="000000" w:themeColor="text1"/>
        </w:rPr>
        <w:t xml:space="preserve"> </w:t>
      </w:r>
    </w:p>
    <w:p w14:paraId="344B96D1" w14:textId="66B7A8A7" w:rsidR="00BA6BA4" w:rsidRDefault="00BA6BA4" w:rsidP="001564F3">
      <w:pPr>
        <w:pStyle w:val="ListParagraph"/>
        <w:numPr>
          <w:ilvl w:val="0"/>
          <w:numId w:val="1"/>
        </w:numPr>
        <w:jc w:val="both"/>
        <w:rPr>
          <w:color w:val="000000" w:themeColor="text1"/>
        </w:rPr>
      </w:pPr>
      <w:r>
        <w:rPr>
          <w:color w:val="000000" w:themeColor="text1"/>
        </w:rPr>
        <w:t xml:space="preserve">The Chair asked if the HDECs are seeing many applications relating to telehealth. The HDEC Chair advised that the HDECs have been receiving a few of these applications and this </w:t>
      </w:r>
      <w:r w:rsidR="006D69FB">
        <w:rPr>
          <w:color w:val="000000" w:themeColor="text1"/>
        </w:rPr>
        <w:t xml:space="preserve">has </w:t>
      </w:r>
      <w:r w:rsidR="00D46A97">
        <w:rPr>
          <w:color w:val="000000" w:themeColor="text1"/>
        </w:rPr>
        <w:t>prompted</w:t>
      </w:r>
      <w:r>
        <w:rPr>
          <w:color w:val="000000" w:themeColor="text1"/>
        </w:rPr>
        <w:t xml:space="preserve"> the</w:t>
      </w:r>
      <w:r w:rsidR="006D69FB">
        <w:rPr>
          <w:color w:val="000000" w:themeColor="text1"/>
        </w:rPr>
        <w:t xml:space="preserve">ir </w:t>
      </w:r>
      <w:r>
        <w:rPr>
          <w:color w:val="000000" w:themeColor="text1"/>
        </w:rPr>
        <w:t>discussions about e-consentin</w:t>
      </w:r>
      <w:r w:rsidR="006D69FB">
        <w:rPr>
          <w:color w:val="000000" w:themeColor="text1"/>
        </w:rPr>
        <w:t>g</w:t>
      </w:r>
      <w:r>
        <w:rPr>
          <w:color w:val="000000" w:themeColor="text1"/>
        </w:rPr>
        <w:t xml:space="preserve">. </w:t>
      </w:r>
    </w:p>
    <w:p w14:paraId="1357519A" w14:textId="155833EA" w:rsidR="0090056F" w:rsidRPr="005460B9" w:rsidRDefault="0090056F" w:rsidP="0090056F">
      <w:pPr>
        <w:pStyle w:val="Heading1"/>
        <w:rPr>
          <w:b/>
          <w:bCs/>
          <w:color w:val="324F5C"/>
          <w:sz w:val="28"/>
          <w:szCs w:val="28"/>
        </w:rPr>
      </w:pPr>
      <w:bookmarkStart w:id="14" w:name="_Toc104562403"/>
      <w:r w:rsidRPr="005460B9">
        <w:rPr>
          <w:b/>
          <w:bCs/>
          <w:color w:val="324F5C"/>
          <w:sz w:val="28"/>
          <w:szCs w:val="28"/>
        </w:rPr>
        <w:t>Correspondence</w:t>
      </w:r>
      <w:bookmarkEnd w:id="14"/>
    </w:p>
    <w:p w14:paraId="238DE813" w14:textId="752F728E" w:rsidR="0090056F" w:rsidRPr="0090056F" w:rsidRDefault="0090056F" w:rsidP="0090056F">
      <w:pPr>
        <w:pStyle w:val="Heading2"/>
        <w:rPr>
          <w:b/>
          <w:bCs/>
          <w:color w:val="324F5C"/>
        </w:rPr>
      </w:pPr>
      <w:bookmarkStart w:id="15" w:name="_Toc104562404"/>
      <w:r w:rsidRPr="005460B9">
        <w:rPr>
          <w:b/>
          <w:bCs/>
          <w:color w:val="324F5C"/>
        </w:rPr>
        <w:t>Exclusion of access to ACC for participants in commercially sponsored clinical trials</w:t>
      </w:r>
      <w:bookmarkEnd w:id="15"/>
    </w:p>
    <w:p w14:paraId="22B8B895" w14:textId="04C6D9DA" w:rsidR="0090056F" w:rsidRDefault="008C0C83" w:rsidP="001564F3">
      <w:pPr>
        <w:pStyle w:val="ListParagraph"/>
        <w:numPr>
          <w:ilvl w:val="0"/>
          <w:numId w:val="1"/>
        </w:numPr>
        <w:jc w:val="both"/>
        <w:rPr>
          <w:color w:val="000000" w:themeColor="text1"/>
        </w:rPr>
      </w:pPr>
      <w:r>
        <w:rPr>
          <w:color w:val="000000" w:themeColor="text1"/>
        </w:rPr>
        <w:t xml:space="preserve">The </w:t>
      </w:r>
      <w:r w:rsidR="005F02A2">
        <w:rPr>
          <w:color w:val="000000" w:themeColor="text1"/>
        </w:rPr>
        <w:t>Chair introduced this item, noting that there are revisions</w:t>
      </w:r>
      <w:r w:rsidR="0024555B">
        <w:rPr>
          <w:color w:val="000000" w:themeColor="text1"/>
        </w:rPr>
        <w:t xml:space="preserve"> </w:t>
      </w:r>
      <w:r w:rsidR="00FA2C72">
        <w:rPr>
          <w:color w:val="000000" w:themeColor="text1"/>
        </w:rPr>
        <w:t xml:space="preserve">to the Accident Compensation Act 2001 (the AC Act) </w:t>
      </w:r>
      <w:r w:rsidR="00A601D2">
        <w:rPr>
          <w:color w:val="000000" w:themeColor="text1"/>
        </w:rPr>
        <w:t xml:space="preserve">currently </w:t>
      </w:r>
      <w:r w:rsidR="0024555B">
        <w:rPr>
          <w:color w:val="000000" w:themeColor="text1"/>
        </w:rPr>
        <w:t>being considered</w:t>
      </w:r>
      <w:r w:rsidR="00001C8B">
        <w:rPr>
          <w:color w:val="000000" w:themeColor="text1"/>
        </w:rPr>
        <w:t xml:space="preserve"> through the </w:t>
      </w:r>
      <w:r w:rsidR="0024555B">
        <w:rPr>
          <w:color w:val="000000" w:themeColor="text1"/>
        </w:rPr>
        <w:t xml:space="preserve">Accident Compensation Corporation </w:t>
      </w:r>
      <w:r w:rsidR="00FD1C54">
        <w:rPr>
          <w:color w:val="000000" w:themeColor="text1"/>
        </w:rPr>
        <w:t xml:space="preserve">(ACC) </w:t>
      </w:r>
      <w:r w:rsidR="0024555B">
        <w:rPr>
          <w:color w:val="000000" w:themeColor="text1"/>
        </w:rPr>
        <w:t>Amendment Bill (the Bill)</w:t>
      </w:r>
      <w:r w:rsidR="00001C8B">
        <w:rPr>
          <w:color w:val="000000" w:themeColor="text1"/>
        </w:rPr>
        <w:t xml:space="preserve">. </w:t>
      </w:r>
    </w:p>
    <w:p w14:paraId="5BA02FB3" w14:textId="4B3D03EC" w:rsidR="00FD1C54" w:rsidRDefault="008A1C4A" w:rsidP="001564F3">
      <w:pPr>
        <w:pStyle w:val="ListParagraph"/>
        <w:numPr>
          <w:ilvl w:val="0"/>
          <w:numId w:val="1"/>
        </w:numPr>
        <w:jc w:val="both"/>
        <w:rPr>
          <w:color w:val="000000" w:themeColor="text1"/>
        </w:rPr>
      </w:pPr>
      <w:r>
        <w:rPr>
          <w:color w:val="000000" w:themeColor="text1"/>
        </w:rPr>
        <w:t xml:space="preserve">The Secretariat </w:t>
      </w:r>
      <w:r w:rsidR="00A33C58">
        <w:rPr>
          <w:color w:val="000000" w:themeColor="text1"/>
        </w:rPr>
        <w:t>revisited</w:t>
      </w:r>
      <w:r>
        <w:rPr>
          <w:color w:val="000000" w:themeColor="text1"/>
        </w:rPr>
        <w:t xml:space="preserve"> NEAC’s previous advice to the Minister of Health on this issu</w:t>
      </w:r>
      <w:r w:rsidR="00BC0810">
        <w:rPr>
          <w:color w:val="000000" w:themeColor="text1"/>
        </w:rPr>
        <w:t>e</w:t>
      </w:r>
      <w:r w:rsidR="00A33C58">
        <w:rPr>
          <w:color w:val="000000" w:themeColor="text1"/>
        </w:rPr>
        <w:t xml:space="preserve"> </w:t>
      </w:r>
      <w:r w:rsidR="0094268B">
        <w:rPr>
          <w:color w:val="000000" w:themeColor="text1"/>
        </w:rPr>
        <w:t>and drafted an updated letter</w:t>
      </w:r>
      <w:r w:rsidR="00A33C58">
        <w:rPr>
          <w:color w:val="000000" w:themeColor="text1"/>
        </w:rPr>
        <w:t xml:space="preserve"> </w:t>
      </w:r>
      <w:r w:rsidR="00162F6A">
        <w:rPr>
          <w:color w:val="000000" w:themeColor="text1"/>
        </w:rPr>
        <w:t>about this issue.</w:t>
      </w:r>
    </w:p>
    <w:p w14:paraId="1998B952" w14:textId="33D2428E" w:rsidR="00BC0810" w:rsidRDefault="00162F6A" w:rsidP="001564F3">
      <w:pPr>
        <w:pStyle w:val="ListParagraph"/>
        <w:numPr>
          <w:ilvl w:val="0"/>
          <w:numId w:val="1"/>
        </w:numPr>
        <w:jc w:val="both"/>
        <w:rPr>
          <w:color w:val="000000" w:themeColor="text1"/>
        </w:rPr>
      </w:pPr>
      <w:r>
        <w:rPr>
          <w:color w:val="000000" w:themeColor="text1"/>
        </w:rPr>
        <w:t xml:space="preserve">NEAC agreed with the </w:t>
      </w:r>
      <w:r w:rsidR="0094268B">
        <w:rPr>
          <w:color w:val="000000" w:themeColor="text1"/>
        </w:rPr>
        <w:t>content of the draft letter</w:t>
      </w:r>
      <w:r w:rsidR="00BC0810">
        <w:rPr>
          <w:color w:val="000000" w:themeColor="text1"/>
        </w:rPr>
        <w:t xml:space="preserve"> and confirmed that it should be sent to the Minister of Health</w:t>
      </w:r>
      <w:r w:rsidR="00B65B14">
        <w:rPr>
          <w:color w:val="000000" w:themeColor="text1"/>
        </w:rPr>
        <w:t xml:space="preserve"> subject to additional content</w:t>
      </w:r>
      <w:r w:rsidR="0045790E">
        <w:rPr>
          <w:color w:val="000000" w:themeColor="text1"/>
        </w:rPr>
        <w:t xml:space="preserve"> requested by members</w:t>
      </w:r>
      <w:r w:rsidR="00ED2FC8">
        <w:rPr>
          <w:color w:val="000000" w:themeColor="text1"/>
        </w:rPr>
        <w:t>.</w:t>
      </w:r>
    </w:p>
    <w:p w14:paraId="0E478B37" w14:textId="4041431E" w:rsidR="0090056F" w:rsidRPr="0090056F" w:rsidRDefault="0090056F" w:rsidP="0090056F">
      <w:pPr>
        <w:pStyle w:val="Heading2"/>
        <w:rPr>
          <w:b/>
          <w:bCs/>
          <w:color w:val="324F5C"/>
        </w:rPr>
      </w:pPr>
      <w:bookmarkStart w:id="16" w:name="_Toc104562405"/>
      <w:r w:rsidRPr="005460B9">
        <w:rPr>
          <w:b/>
          <w:bCs/>
          <w:color w:val="324F5C"/>
        </w:rPr>
        <w:t>Actions</w:t>
      </w:r>
      <w:bookmarkEnd w:id="16"/>
    </w:p>
    <w:p w14:paraId="33092E7D" w14:textId="6B90D493" w:rsidR="00172229" w:rsidRDefault="00835131" w:rsidP="00835131">
      <w:pPr>
        <w:pStyle w:val="ListParagraph"/>
        <w:numPr>
          <w:ilvl w:val="0"/>
          <w:numId w:val="8"/>
        </w:numPr>
        <w:rPr>
          <w:color w:val="000000" w:themeColor="text1"/>
        </w:rPr>
      </w:pPr>
      <w:r w:rsidRPr="00F02A7D">
        <w:rPr>
          <w:color w:val="000000" w:themeColor="text1"/>
        </w:rPr>
        <w:t xml:space="preserve">Secretariat to </w:t>
      </w:r>
      <w:r w:rsidR="00172229">
        <w:rPr>
          <w:color w:val="000000" w:themeColor="text1"/>
        </w:rPr>
        <w:t>add content to the letter as requested by members and work with the Chair to finalise the letter before sending it to the Minister of Health.</w:t>
      </w:r>
    </w:p>
    <w:p w14:paraId="2E380131" w14:textId="0AD238B2" w:rsidR="006D05F6" w:rsidRDefault="007C68B7" w:rsidP="00835131">
      <w:pPr>
        <w:pStyle w:val="ListParagraph"/>
        <w:numPr>
          <w:ilvl w:val="0"/>
          <w:numId w:val="8"/>
        </w:numPr>
        <w:rPr>
          <w:color w:val="000000" w:themeColor="text1"/>
        </w:rPr>
      </w:pPr>
      <w:r>
        <w:rPr>
          <w:color w:val="000000" w:themeColor="text1"/>
        </w:rPr>
        <w:t xml:space="preserve">The </w:t>
      </w:r>
      <w:r w:rsidR="007D418B">
        <w:rPr>
          <w:color w:val="000000" w:themeColor="text1"/>
        </w:rPr>
        <w:t>Secretariat</w:t>
      </w:r>
      <w:r>
        <w:rPr>
          <w:color w:val="000000" w:themeColor="text1"/>
        </w:rPr>
        <w:t xml:space="preserve"> will update a stakeholder who has been in touch to inform them that </w:t>
      </w:r>
      <w:r w:rsidR="005C1403">
        <w:rPr>
          <w:color w:val="000000" w:themeColor="text1"/>
        </w:rPr>
        <w:t xml:space="preserve">NEAC has continued to discuss the issue and intends to write to the Minister. </w:t>
      </w:r>
    </w:p>
    <w:p w14:paraId="57516116" w14:textId="241B4B5D" w:rsidR="007C77C8" w:rsidRPr="008C7CC9" w:rsidRDefault="007C77C8" w:rsidP="007C77C8">
      <w:pPr>
        <w:pStyle w:val="Heading1"/>
        <w:rPr>
          <w:b/>
          <w:bCs/>
          <w:color w:val="324F5C"/>
          <w:sz w:val="28"/>
          <w:szCs w:val="28"/>
        </w:rPr>
      </w:pPr>
      <w:bookmarkStart w:id="17" w:name="_Toc104562406"/>
      <w:r w:rsidRPr="008C7CC9">
        <w:rPr>
          <w:b/>
          <w:bCs/>
          <w:color w:val="324F5C"/>
          <w:sz w:val="28"/>
          <w:szCs w:val="28"/>
        </w:rPr>
        <w:lastRenderedPageBreak/>
        <w:t>Work between meetings</w:t>
      </w:r>
      <w:bookmarkEnd w:id="17"/>
    </w:p>
    <w:p w14:paraId="78D7A35A" w14:textId="7C047F6A" w:rsidR="00174643" w:rsidRPr="008C7CC9" w:rsidRDefault="007C77C8" w:rsidP="001757E0">
      <w:pPr>
        <w:pStyle w:val="ListParagraph"/>
        <w:numPr>
          <w:ilvl w:val="0"/>
          <w:numId w:val="1"/>
        </w:numPr>
      </w:pPr>
      <w:r w:rsidRPr="008C7CC9">
        <w:t>NEAC discussed work b</w:t>
      </w:r>
      <w:r w:rsidR="001355A2" w:rsidRPr="008C7CC9">
        <w:t>e</w:t>
      </w:r>
      <w:r w:rsidRPr="008C7CC9">
        <w:t xml:space="preserve">tween meetings. </w:t>
      </w:r>
      <w:r w:rsidR="008A7FAD" w:rsidRPr="008C7CC9">
        <w:t xml:space="preserve">The Chair </w:t>
      </w:r>
      <w:r w:rsidR="00266AFA" w:rsidRPr="008C7CC9">
        <w:t>raised setting up a third working sub-</w:t>
      </w:r>
      <w:r w:rsidR="004A5EFA" w:rsidRPr="008C7CC9">
        <w:t>committee</w:t>
      </w:r>
      <w:r w:rsidR="00266AFA" w:rsidRPr="008C7CC9">
        <w:t xml:space="preserve"> </w:t>
      </w:r>
      <w:r w:rsidR="004A5EFA" w:rsidRPr="008C7CC9">
        <w:t xml:space="preserve">which would focus on governance arrangements. </w:t>
      </w:r>
    </w:p>
    <w:p w14:paraId="539908C8" w14:textId="51F05A2D" w:rsidR="00973498" w:rsidRDefault="00B56E8A" w:rsidP="001757E0">
      <w:pPr>
        <w:pStyle w:val="ListParagraph"/>
        <w:numPr>
          <w:ilvl w:val="0"/>
          <w:numId w:val="1"/>
        </w:numPr>
      </w:pPr>
      <w:r w:rsidRPr="008C7CC9">
        <w:t>The Secretariat noted that</w:t>
      </w:r>
      <w:r w:rsidR="008C7CC9" w:rsidRPr="008C7CC9">
        <w:t xml:space="preserve"> NEAC members involved in</w:t>
      </w:r>
      <w:r w:rsidRPr="008C7CC9">
        <w:t xml:space="preserve"> sub-group an</w:t>
      </w:r>
      <w:r w:rsidR="008C7CC9" w:rsidRPr="008C7CC9">
        <w:t xml:space="preserve">d/or representing NEAC for </w:t>
      </w:r>
      <w:r w:rsidRPr="008C7CC9">
        <w:t>presentations will be pa</w:t>
      </w:r>
      <w:r w:rsidR="008C7CC9" w:rsidRPr="008C7CC9">
        <w:t xml:space="preserve">id for their time. </w:t>
      </w:r>
    </w:p>
    <w:p w14:paraId="538BABDE" w14:textId="77777777" w:rsidR="00223882" w:rsidRPr="0090056F" w:rsidRDefault="00223882" w:rsidP="00223882">
      <w:pPr>
        <w:pStyle w:val="Heading2"/>
        <w:rPr>
          <w:b/>
          <w:bCs/>
          <w:color w:val="324F5C"/>
        </w:rPr>
      </w:pPr>
      <w:r w:rsidRPr="005460B9">
        <w:rPr>
          <w:b/>
          <w:bCs/>
          <w:color w:val="324F5C"/>
        </w:rPr>
        <w:t>Actions</w:t>
      </w:r>
    </w:p>
    <w:p w14:paraId="0CC04432" w14:textId="5BAF897B" w:rsidR="00223882" w:rsidRPr="008C7CC9" w:rsidRDefault="00223882" w:rsidP="00223882">
      <w:pPr>
        <w:pStyle w:val="ListParagraph"/>
        <w:numPr>
          <w:ilvl w:val="0"/>
          <w:numId w:val="26"/>
        </w:numPr>
      </w:pPr>
      <w:r>
        <w:t xml:space="preserve">Set up a third working sub-committee which would focus on governance arrangements. </w:t>
      </w:r>
    </w:p>
    <w:sectPr w:rsidR="00223882" w:rsidRPr="008C7CC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692F1" w14:textId="77777777" w:rsidR="00297F85" w:rsidRDefault="00297F85" w:rsidP="00D91C65">
      <w:pPr>
        <w:spacing w:after="0" w:line="240" w:lineRule="auto"/>
      </w:pPr>
      <w:r>
        <w:separator/>
      </w:r>
    </w:p>
  </w:endnote>
  <w:endnote w:type="continuationSeparator" w:id="0">
    <w:p w14:paraId="1D6E77BC" w14:textId="77777777" w:rsidR="00297F85" w:rsidRDefault="00297F85" w:rsidP="00D9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7661" w14:textId="77777777" w:rsidR="00D537DE" w:rsidRDefault="00D5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585524"/>
      <w:docPartObj>
        <w:docPartGallery w:val="Page Numbers (Bottom of Page)"/>
        <w:docPartUnique/>
      </w:docPartObj>
    </w:sdtPr>
    <w:sdtEndPr>
      <w:rPr>
        <w:noProof/>
      </w:rPr>
    </w:sdtEndPr>
    <w:sdtContent>
      <w:p w14:paraId="17F11BCB" w14:textId="561A89E6" w:rsidR="00D91C65" w:rsidRDefault="00D91C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5C6EFF" w14:textId="4CC48B6A" w:rsidR="00D91C65" w:rsidRPr="00D91C65" w:rsidRDefault="00D91C65">
    <w:pPr>
      <w:pStyle w:val="Footer"/>
    </w:pPr>
    <w:r>
      <w:t xml:space="preserve">National Ethics Advisory Committee </w:t>
    </w:r>
    <w:r w:rsidR="0090056F">
      <w:t>–</w:t>
    </w:r>
    <w:r>
      <w:t xml:space="preserve"> </w:t>
    </w:r>
    <w:r w:rsidR="0090056F" w:rsidRPr="0090056F">
      <w:rPr>
        <w:color w:val="000000" w:themeColor="text1"/>
      </w:rPr>
      <w:t>26 May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B458" w14:textId="77777777" w:rsidR="00D537DE" w:rsidRDefault="00D5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FE6E5" w14:textId="77777777" w:rsidR="00297F85" w:rsidRDefault="00297F85" w:rsidP="00D91C65">
      <w:pPr>
        <w:spacing w:after="0" w:line="240" w:lineRule="auto"/>
      </w:pPr>
      <w:r>
        <w:separator/>
      </w:r>
    </w:p>
  </w:footnote>
  <w:footnote w:type="continuationSeparator" w:id="0">
    <w:p w14:paraId="546E8670" w14:textId="77777777" w:rsidR="00297F85" w:rsidRDefault="00297F85" w:rsidP="00D91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0FFB" w14:textId="77777777" w:rsidR="00D537DE" w:rsidRDefault="00D53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A131" w14:textId="7F59FB84" w:rsidR="00D91C65" w:rsidRDefault="00297F85">
    <w:pPr>
      <w:pStyle w:val="Header"/>
    </w:pPr>
    <w:sdt>
      <w:sdtPr>
        <w:id w:val="1948583797"/>
        <w:docPartObj>
          <w:docPartGallery w:val="Watermarks"/>
          <w:docPartUnique/>
        </w:docPartObj>
      </w:sdtPr>
      <w:sdtEndPr/>
      <w:sdtContent>
        <w:r>
          <w:rPr>
            <w:noProof/>
          </w:rPr>
          <w:pict w14:anchorId="0AE67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91C65">
      <w:rPr>
        <w:noProof/>
      </w:rPr>
      <w:drawing>
        <wp:anchor distT="0" distB="0" distL="114300" distR="114300" simplePos="0" relativeHeight="251657216" behindDoc="1" locked="0" layoutInCell="1" allowOverlap="1" wp14:anchorId="220F62E9" wp14:editId="205F0F13">
          <wp:simplePos x="0" y="0"/>
          <wp:positionH relativeFrom="margin">
            <wp:align>center</wp:align>
          </wp:positionH>
          <wp:positionV relativeFrom="paragraph">
            <wp:posOffset>-181631</wp:posOffset>
          </wp:positionV>
          <wp:extent cx="790575" cy="448945"/>
          <wp:effectExtent l="0" t="0" r="9525" b="8255"/>
          <wp:wrapTight wrapText="bothSides">
            <wp:wrapPolygon edited="0">
              <wp:start x="0" y="0"/>
              <wp:lineTo x="0" y="21081"/>
              <wp:lineTo x="21340" y="21081"/>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V="1">
                    <a:off x="0" y="0"/>
                    <a:ext cx="790575" cy="44894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DED2" w14:textId="77777777" w:rsidR="00D537DE" w:rsidRDefault="00D5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EB6"/>
    <w:multiLevelType w:val="hybridMultilevel"/>
    <w:tmpl w:val="BDA63438"/>
    <w:lvl w:ilvl="0" w:tplc="9AA4129A">
      <w:start w:val="6"/>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7335812"/>
    <w:multiLevelType w:val="hybridMultilevel"/>
    <w:tmpl w:val="450E9C2E"/>
    <w:lvl w:ilvl="0" w:tplc="F9D63384">
      <w:start w:val="1"/>
      <w:numFmt w:val="bullet"/>
      <w:lvlText w:val=""/>
      <w:lvlJc w:val="left"/>
      <w:pPr>
        <w:ind w:left="360" w:hanging="360"/>
      </w:pPr>
      <w:rPr>
        <w:rFonts w:ascii="Symbol" w:hAnsi="Symbol" w:hint="default"/>
        <w:sz w:val="21"/>
        <w:szCs w:val="2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9C16AAC"/>
    <w:multiLevelType w:val="hybridMultilevel"/>
    <w:tmpl w:val="1B642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BC3A57"/>
    <w:multiLevelType w:val="hybridMultilevel"/>
    <w:tmpl w:val="DB3ADEC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D377C6"/>
    <w:multiLevelType w:val="hybridMultilevel"/>
    <w:tmpl w:val="05F04A0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0BD44A6"/>
    <w:multiLevelType w:val="hybridMultilevel"/>
    <w:tmpl w:val="05F04A0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43B3DD6"/>
    <w:multiLevelType w:val="hybridMultilevel"/>
    <w:tmpl w:val="05F04A0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F466FE9"/>
    <w:multiLevelType w:val="hybridMultilevel"/>
    <w:tmpl w:val="F992DA00"/>
    <w:lvl w:ilvl="0" w:tplc="FC68E10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001A82"/>
    <w:multiLevelType w:val="hybridMultilevel"/>
    <w:tmpl w:val="68D04C74"/>
    <w:lvl w:ilvl="0" w:tplc="C2E089B4">
      <w:start w:val="6"/>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2546C14"/>
    <w:multiLevelType w:val="hybridMultilevel"/>
    <w:tmpl w:val="05F04A0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93A0CB6"/>
    <w:multiLevelType w:val="hybridMultilevel"/>
    <w:tmpl w:val="C36EF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94D62BC"/>
    <w:multiLevelType w:val="hybridMultilevel"/>
    <w:tmpl w:val="1B420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9FC0A67"/>
    <w:multiLevelType w:val="hybridMultilevel"/>
    <w:tmpl w:val="75BC50E8"/>
    <w:lvl w:ilvl="0" w:tplc="844494C4">
      <w:start w:val="7"/>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AA31658"/>
    <w:multiLevelType w:val="hybridMultilevel"/>
    <w:tmpl w:val="05F04A0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D3B0D1F"/>
    <w:multiLevelType w:val="hybridMultilevel"/>
    <w:tmpl w:val="0DAA6F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3AD5236"/>
    <w:multiLevelType w:val="hybridMultilevel"/>
    <w:tmpl w:val="3712FE06"/>
    <w:lvl w:ilvl="0" w:tplc="2E4211B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FD5E29"/>
    <w:multiLevelType w:val="hybridMultilevel"/>
    <w:tmpl w:val="3208D9EA"/>
    <w:lvl w:ilvl="0" w:tplc="844494C4">
      <w:start w:val="7"/>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94D1A6A"/>
    <w:multiLevelType w:val="hybridMultilevel"/>
    <w:tmpl w:val="05F04A0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5CFF7488"/>
    <w:multiLevelType w:val="hybridMultilevel"/>
    <w:tmpl w:val="8C062450"/>
    <w:lvl w:ilvl="0" w:tplc="F10A9EE8">
      <w:start w:val="6"/>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01E196D"/>
    <w:multiLevelType w:val="hybridMultilevel"/>
    <w:tmpl w:val="5CD0FA7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60D517F9"/>
    <w:multiLevelType w:val="hybridMultilevel"/>
    <w:tmpl w:val="D8A60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1F23C63"/>
    <w:multiLevelType w:val="hybridMultilevel"/>
    <w:tmpl w:val="ABB23A1C"/>
    <w:lvl w:ilvl="0" w:tplc="C2E089B4">
      <w:start w:val="6"/>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6920379A"/>
    <w:multiLevelType w:val="hybridMultilevel"/>
    <w:tmpl w:val="3D6EF5BC"/>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C1B03F1"/>
    <w:multiLevelType w:val="hybridMultilevel"/>
    <w:tmpl w:val="7882B816"/>
    <w:lvl w:ilvl="0" w:tplc="7FDCAF02">
      <w:start w:val="1"/>
      <w:numFmt w:val="decimal"/>
      <w:lvlText w:val="%1."/>
      <w:lvlJc w:val="left"/>
      <w:pPr>
        <w:ind w:left="360" w:hanging="360"/>
      </w:pPr>
      <w:rPr>
        <w:color w:val="000000" w:themeColor="text1"/>
      </w:rPr>
    </w:lvl>
    <w:lvl w:ilvl="1" w:tplc="14090019">
      <w:start w:val="1"/>
      <w:numFmt w:val="lowerLetter"/>
      <w:lvlText w:val="%2."/>
      <w:lvlJc w:val="left"/>
      <w:pPr>
        <w:ind w:left="928"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71547E3A"/>
    <w:multiLevelType w:val="hybridMultilevel"/>
    <w:tmpl w:val="7CEA9238"/>
    <w:lvl w:ilvl="0" w:tplc="C2E089B4">
      <w:start w:val="6"/>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77641AA8"/>
    <w:multiLevelType w:val="hybridMultilevel"/>
    <w:tmpl w:val="5254B79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981184A"/>
    <w:multiLevelType w:val="hybridMultilevel"/>
    <w:tmpl w:val="05F04A0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3"/>
  </w:num>
  <w:num w:numId="2">
    <w:abstractNumId w:val="25"/>
  </w:num>
  <w:num w:numId="3">
    <w:abstractNumId w:val="18"/>
  </w:num>
  <w:num w:numId="4">
    <w:abstractNumId w:val="0"/>
  </w:num>
  <w:num w:numId="5">
    <w:abstractNumId w:val="8"/>
  </w:num>
  <w:num w:numId="6">
    <w:abstractNumId w:val="24"/>
  </w:num>
  <w:num w:numId="7">
    <w:abstractNumId w:val="21"/>
  </w:num>
  <w:num w:numId="8">
    <w:abstractNumId w:val="1"/>
  </w:num>
  <w:num w:numId="9">
    <w:abstractNumId w:val="16"/>
  </w:num>
  <w:num w:numId="10">
    <w:abstractNumId w:val="12"/>
  </w:num>
  <w:num w:numId="11">
    <w:abstractNumId w:val="22"/>
  </w:num>
  <w:num w:numId="12">
    <w:abstractNumId w:val="3"/>
  </w:num>
  <w:num w:numId="13">
    <w:abstractNumId w:val="4"/>
  </w:num>
  <w:num w:numId="14">
    <w:abstractNumId w:val="17"/>
  </w:num>
  <w:num w:numId="15">
    <w:abstractNumId w:val="26"/>
  </w:num>
  <w:num w:numId="16">
    <w:abstractNumId w:val="5"/>
  </w:num>
  <w:num w:numId="17">
    <w:abstractNumId w:val="9"/>
  </w:num>
  <w:num w:numId="18">
    <w:abstractNumId w:val="6"/>
  </w:num>
  <w:num w:numId="19">
    <w:abstractNumId w:val="13"/>
  </w:num>
  <w:num w:numId="20">
    <w:abstractNumId w:val="19"/>
  </w:num>
  <w:num w:numId="21">
    <w:abstractNumId w:val="15"/>
  </w:num>
  <w:num w:numId="22">
    <w:abstractNumId w:val="14"/>
  </w:num>
  <w:num w:numId="23">
    <w:abstractNumId w:val="7"/>
  </w:num>
  <w:num w:numId="24">
    <w:abstractNumId w:val="2"/>
  </w:num>
  <w:num w:numId="25">
    <w:abstractNumId w:val="20"/>
  </w:num>
  <w:num w:numId="26">
    <w:abstractNumId w:val="11"/>
  </w:num>
  <w:num w:numId="27">
    <w:abstractNumId w:val="1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65"/>
    <w:rsid w:val="00001C8B"/>
    <w:rsid w:val="00022226"/>
    <w:rsid w:val="00022BDF"/>
    <w:rsid w:val="0003744E"/>
    <w:rsid w:val="000418D8"/>
    <w:rsid w:val="000446E6"/>
    <w:rsid w:val="00046B04"/>
    <w:rsid w:val="0005265F"/>
    <w:rsid w:val="0005535E"/>
    <w:rsid w:val="000554B3"/>
    <w:rsid w:val="00056536"/>
    <w:rsid w:val="000633D1"/>
    <w:rsid w:val="000665A3"/>
    <w:rsid w:val="000677D2"/>
    <w:rsid w:val="00071C7D"/>
    <w:rsid w:val="00073FEF"/>
    <w:rsid w:val="000751C3"/>
    <w:rsid w:val="000832E4"/>
    <w:rsid w:val="000860B2"/>
    <w:rsid w:val="000934CD"/>
    <w:rsid w:val="00093FD7"/>
    <w:rsid w:val="00096ABA"/>
    <w:rsid w:val="000A43BC"/>
    <w:rsid w:val="000A48CA"/>
    <w:rsid w:val="000A710E"/>
    <w:rsid w:val="000C1992"/>
    <w:rsid w:val="000D2168"/>
    <w:rsid w:val="000D5C85"/>
    <w:rsid w:val="000E058C"/>
    <w:rsid w:val="000F46ED"/>
    <w:rsid w:val="000F740A"/>
    <w:rsid w:val="000F7EB5"/>
    <w:rsid w:val="0011070F"/>
    <w:rsid w:val="00112B3A"/>
    <w:rsid w:val="0012293C"/>
    <w:rsid w:val="00122A33"/>
    <w:rsid w:val="00125858"/>
    <w:rsid w:val="00133885"/>
    <w:rsid w:val="001355A2"/>
    <w:rsid w:val="00144277"/>
    <w:rsid w:val="00154157"/>
    <w:rsid w:val="001564F3"/>
    <w:rsid w:val="00160A6C"/>
    <w:rsid w:val="0016170D"/>
    <w:rsid w:val="001624A8"/>
    <w:rsid w:val="00162F6A"/>
    <w:rsid w:val="00163533"/>
    <w:rsid w:val="001658CE"/>
    <w:rsid w:val="0017105C"/>
    <w:rsid w:val="001716B5"/>
    <w:rsid w:val="00172229"/>
    <w:rsid w:val="00174643"/>
    <w:rsid w:val="001757E0"/>
    <w:rsid w:val="00181A80"/>
    <w:rsid w:val="00185B68"/>
    <w:rsid w:val="00187DBB"/>
    <w:rsid w:val="001930A7"/>
    <w:rsid w:val="00194D3C"/>
    <w:rsid w:val="00196A1B"/>
    <w:rsid w:val="00196F2D"/>
    <w:rsid w:val="001A171A"/>
    <w:rsid w:val="001A54B0"/>
    <w:rsid w:val="001A70A1"/>
    <w:rsid w:val="001B003C"/>
    <w:rsid w:val="001B522A"/>
    <w:rsid w:val="001B786B"/>
    <w:rsid w:val="001C3214"/>
    <w:rsid w:val="001C5B75"/>
    <w:rsid w:val="001D0B60"/>
    <w:rsid w:val="001D3EB8"/>
    <w:rsid w:val="001E2C6F"/>
    <w:rsid w:val="001E3B81"/>
    <w:rsid w:val="001E5838"/>
    <w:rsid w:val="001F1928"/>
    <w:rsid w:val="001F3841"/>
    <w:rsid w:val="001F50FC"/>
    <w:rsid w:val="001F5B35"/>
    <w:rsid w:val="001F61FC"/>
    <w:rsid w:val="00201015"/>
    <w:rsid w:val="002042DB"/>
    <w:rsid w:val="00207893"/>
    <w:rsid w:val="00207D36"/>
    <w:rsid w:val="0021352B"/>
    <w:rsid w:val="00214E87"/>
    <w:rsid w:val="00215210"/>
    <w:rsid w:val="00215652"/>
    <w:rsid w:val="00223882"/>
    <w:rsid w:val="00224178"/>
    <w:rsid w:val="00225062"/>
    <w:rsid w:val="00227EAA"/>
    <w:rsid w:val="0024555B"/>
    <w:rsid w:val="002476F5"/>
    <w:rsid w:val="00252AD0"/>
    <w:rsid w:val="00253089"/>
    <w:rsid w:val="00255752"/>
    <w:rsid w:val="002558AA"/>
    <w:rsid w:val="00257FB5"/>
    <w:rsid w:val="00263C08"/>
    <w:rsid w:val="002640D7"/>
    <w:rsid w:val="00266AFA"/>
    <w:rsid w:val="00273FF8"/>
    <w:rsid w:val="00276009"/>
    <w:rsid w:val="00291C66"/>
    <w:rsid w:val="00297AFC"/>
    <w:rsid w:val="00297F85"/>
    <w:rsid w:val="002A4ADE"/>
    <w:rsid w:val="002D2075"/>
    <w:rsid w:val="002D2D67"/>
    <w:rsid w:val="002D31E5"/>
    <w:rsid w:val="002D32D4"/>
    <w:rsid w:val="002E3DE4"/>
    <w:rsid w:val="002E66C4"/>
    <w:rsid w:val="002E7A69"/>
    <w:rsid w:val="002F1F1A"/>
    <w:rsid w:val="002F26D5"/>
    <w:rsid w:val="00304557"/>
    <w:rsid w:val="00313FC5"/>
    <w:rsid w:val="003212B1"/>
    <w:rsid w:val="00322509"/>
    <w:rsid w:val="00330069"/>
    <w:rsid w:val="003314A9"/>
    <w:rsid w:val="00335551"/>
    <w:rsid w:val="00336440"/>
    <w:rsid w:val="003414C2"/>
    <w:rsid w:val="003452EB"/>
    <w:rsid w:val="00351CC5"/>
    <w:rsid w:val="00366E6A"/>
    <w:rsid w:val="0037178B"/>
    <w:rsid w:val="00382F64"/>
    <w:rsid w:val="00383973"/>
    <w:rsid w:val="00384D2D"/>
    <w:rsid w:val="0038528D"/>
    <w:rsid w:val="003A29B9"/>
    <w:rsid w:val="003A3C50"/>
    <w:rsid w:val="003A5E73"/>
    <w:rsid w:val="003A7419"/>
    <w:rsid w:val="003B1CCC"/>
    <w:rsid w:val="003B27EC"/>
    <w:rsid w:val="003B3333"/>
    <w:rsid w:val="003B78AD"/>
    <w:rsid w:val="003C4DE9"/>
    <w:rsid w:val="003C588B"/>
    <w:rsid w:val="003D241D"/>
    <w:rsid w:val="003D3444"/>
    <w:rsid w:val="003D465C"/>
    <w:rsid w:val="003D5CD4"/>
    <w:rsid w:val="003D6851"/>
    <w:rsid w:val="003D76E5"/>
    <w:rsid w:val="003E35AC"/>
    <w:rsid w:val="003E60CB"/>
    <w:rsid w:val="003F52D8"/>
    <w:rsid w:val="0040059B"/>
    <w:rsid w:val="0040362B"/>
    <w:rsid w:val="00403DE5"/>
    <w:rsid w:val="00404311"/>
    <w:rsid w:val="004058C7"/>
    <w:rsid w:val="00410537"/>
    <w:rsid w:val="00411E7C"/>
    <w:rsid w:val="004305E5"/>
    <w:rsid w:val="00437E0E"/>
    <w:rsid w:val="00441EA9"/>
    <w:rsid w:val="00442D01"/>
    <w:rsid w:val="00443459"/>
    <w:rsid w:val="0044761B"/>
    <w:rsid w:val="00451B63"/>
    <w:rsid w:val="00452EB4"/>
    <w:rsid w:val="0045496E"/>
    <w:rsid w:val="0045790E"/>
    <w:rsid w:val="00461B8F"/>
    <w:rsid w:val="00466076"/>
    <w:rsid w:val="00467AEA"/>
    <w:rsid w:val="00480276"/>
    <w:rsid w:val="00486CAB"/>
    <w:rsid w:val="00496D59"/>
    <w:rsid w:val="004970A4"/>
    <w:rsid w:val="004A1B2B"/>
    <w:rsid w:val="004A5EFA"/>
    <w:rsid w:val="004D0EF9"/>
    <w:rsid w:val="004D1473"/>
    <w:rsid w:val="004D288D"/>
    <w:rsid w:val="004D485E"/>
    <w:rsid w:val="004D59E4"/>
    <w:rsid w:val="004D74DE"/>
    <w:rsid w:val="004E3CD4"/>
    <w:rsid w:val="004E5380"/>
    <w:rsid w:val="004F583F"/>
    <w:rsid w:val="00505331"/>
    <w:rsid w:val="00505B62"/>
    <w:rsid w:val="00506087"/>
    <w:rsid w:val="00507D66"/>
    <w:rsid w:val="00524AAE"/>
    <w:rsid w:val="005252B7"/>
    <w:rsid w:val="00534305"/>
    <w:rsid w:val="00534C53"/>
    <w:rsid w:val="005460B9"/>
    <w:rsid w:val="00546CA6"/>
    <w:rsid w:val="00546EBB"/>
    <w:rsid w:val="005508CD"/>
    <w:rsid w:val="0055234D"/>
    <w:rsid w:val="00552B8A"/>
    <w:rsid w:val="0055325B"/>
    <w:rsid w:val="00553FAD"/>
    <w:rsid w:val="0056142D"/>
    <w:rsid w:val="005668B3"/>
    <w:rsid w:val="00577E39"/>
    <w:rsid w:val="0058379A"/>
    <w:rsid w:val="00586EA6"/>
    <w:rsid w:val="0059049F"/>
    <w:rsid w:val="005A3726"/>
    <w:rsid w:val="005B280A"/>
    <w:rsid w:val="005B381F"/>
    <w:rsid w:val="005C1403"/>
    <w:rsid w:val="005C33F8"/>
    <w:rsid w:val="005C5E93"/>
    <w:rsid w:val="005D28DA"/>
    <w:rsid w:val="005D335A"/>
    <w:rsid w:val="005E0253"/>
    <w:rsid w:val="005E02C7"/>
    <w:rsid w:val="005E3FF3"/>
    <w:rsid w:val="005E54F2"/>
    <w:rsid w:val="005F02A2"/>
    <w:rsid w:val="005F1965"/>
    <w:rsid w:val="005F2916"/>
    <w:rsid w:val="00604955"/>
    <w:rsid w:val="00604CA9"/>
    <w:rsid w:val="00611365"/>
    <w:rsid w:val="00613BD2"/>
    <w:rsid w:val="00613C01"/>
    <w:rsid w:val="00613DF1"/>
    <w:rsid w:val="00613F2A"/>
    <w:rsid w:val="0061498B"/>
    <w:rsid w:val="00625AF5"/>
    <w:rsid w:val="00630BAB"/>
    <w:rsid w:val="006317E9"/>
    <w:rsid w:val="00634E57"/>
    <w:rsid w:val="00635276"/>
    <w:rsid w:val="0064253C"/>
    <w:rsid w:val="00644FA4"/>
    <w:rsid w:val="006472A7"/>
    <w:rsid w:val="00653D2E"/>
    <w:rsid w:val="00655344"/>
    <w:rsid w:val="00660A8C"/>
    <w:rsid w:val="00661C0E"/>
    <w:rsid w:val="0067255F"/>
    <w:rsid w:val="00681E0B"/>
    <w:rsid w:val="00693BB4"/>
    <w:rsid w:val="00693E5E"/>
    <w:rsid w:val="006A016C"/>
    <w:rsid w:val="006A5663"/>
    <w:rsid w:val="006A621B"/>
    <w:rsid w:val="006B0502"/>
    <w:rsid w:val="006B0CDD"/>
    <w:rsid w:val="006C2455"/>
    <w:rsid w:val="006C4FBE"/>
    <w:rsid w:val="006C5618"/>
    <w:rsid w:val="006D05F6"/>
    <w:rsid w:val="006D0BF5"/>
    <w:rsid w:val="006D0D43"/>
    <w:rsid w:val="006D69FB"/>
    <w:rsid w:val="006E0CB8"/>
    <w:rsid w:val="006E4BC0"/>
    <w:rsid w:val="006E52D6"/>
    <w:rsid w:val="006E5AFD"/>
    <w:rsid w:val="00703AC8"/>
    <w:rsid w:val="00705791"/>
    <w:rsid w:val="0070635D"/>
    <w:rsid w:val="00710125"/>
    <w:rsid w:val="007120FF"/>
    <w:rsid w:val="00713EEF"/>
    <w:rsid w:val="0071554E"/>
    <w:rsid w:val="00721312"/>
    <w:rsid w:val="00731A45"/>
    <w:rsid w:val="00737A1E"/>
    <w:rsid w:val="00741840"/>
    <w:rsid w:val="00741ADF"/>
    <w:rsid w:val="00750BCE"/>
    <w:rsid w:val="00753DC3"/>
    <w:rsid w:val="00754474"/>
    <w:rsid w:val="007544CF"/>
    <w:rsid w:val="007604FC"/>
    <w:rsid w:val="007644F3"/>
    <w:rsid w:val="00770D5A"/>
    <w:rsid w:val="00776B21"/>
    <w:rsid w:val="00776C05"/>
    <w:rsid w:val="00782E2A"/>
    <w:rsid w:val="00783CA4"/>
    <w:rsid w:val="00784CF1"/>
    <w:rsid w:val="007947A6"/>
    <w:rsid w:val="00796648"/>
    <w:rsid w:val="0079698B"/>
    <w:rsid w:val="00796AD7"/>
    <w:rsid w:val="007A035C"/>
    <w:rsid w:val="007A717B"/>
    <w:rsid w:val="007B26D4"/>
    <w:rsid w:val="007B2FE8"/>
    <w:rsid w:val="007C0E67"/>
    <w:rsid w:val="007C26F1"/>
    <w:rsid w:val="007C36E9"/>
    <w:rsid w:val="007C5328"/>
    <w:rsid w:val="007C68B7"/>
    <w:rsid w:val="007C6987"/>
    <w:rsid w:val="007C72E0"/>
    <w:rsid w:val="007C7374"/>
    <w:rsid w:val="007C77C8"/>
    <w:rsid w:val="007C7953"/>
    <w:rsid w:val="007D3871"/>
    <w:rsid w:val="007D418B"/>
    <w:rsid w:val="007D5C9E"/>
    <w:rsid w:val="007D6468"/>
    <w:rsid w:val="007D6CCC"/>
    <w:rsid w:val="007D7BAA"/>
    <w:rsid w:val="007E2F50"/>
    <w:rsid w:val="007E3D95"/>
    <w:rsid w:val="007E7A65"/>
    <w:rsid w:val="007F0957"/>
    <w:rsid w:val="007F58B9"/>
    <w:rsid w:val="00803531"/>
    <w:rsid w:val="008040F7"/>
    <w:rsid w:val="008103C7"/>
    <w:rsid w:val="0082111A"/>
    <w:rsid w:val="00825988"/>
    <w:rsid w:val="00827937"/>
    <w:rsid w:val="00827E3B"/>
    <w:rsid w:val="008300F2"/>
    <w:rsid w:val="00835131"/>
    <w:rsid w:val="00841C29"/>
    <w:rsid w:val="0085487B"/>
    <w:rsid w:val="008612A5"/>
    <w:rsid w:val="00867056"/>
    <w:rsid w:val="00873E48"/>
    <w:rsid w:val="008764C8"/>
    <w:rsid w:val="008841DB"/>
    <w:rsid w:val="008858FD"/>
    <w:rsid w:val="00891000"/>
    <w:rsid w:val="0089405E"/>
    <w:rsid w:val="008953D6"/>
    <w:rsid w:val="008A1C4A"/>
    <w:rsid w:val="008A27FB"/>
    <w:rsid w:val="008A39FC"/>
    <w:rsid w:val="008A7CC0"/>
    <w:rsid w:val="008A7FAD"/>
    <w:rsid w:val="008B1226"/>
    <w:rsid w:val="008B3FA4"/>
    <w:rsid w:val="008B6406"/>
    <w:rsid w:val="008B68A4"/>
    <w:rsid w:val="008C0C83"/>
    <w:rsid w:val="008C7CC9"/>
    <w:rsid w:val="008D1796"/>
    <w:rsid w:val="008D4252"/>
    <w:rsid w:val="008D724E"/>
    <w:rsid w:val="008D7E42"/>
    <w:rsid w:val="008E1CFD"/>
    <w:rsid w:val="008E4CC0"/>
    <w:rsid w:val="008E7F23"/>
    <w:rsid w:val="008F198E"/>
    <w:rsid w:val="0090056F"/>
    <w:rsid w:val="00910BEA"/>
    <w:rsid w:val="00914043"/>
    <w:rsid w:val="00915C38"/>
    <w:rsid w:val="00932DFB"/>
    <w:rsid w:val="00940940"/>
    <w:rsid w:val="0094268B"/>
    <w:rsid w:val="00945C02"/>
    <w:rsid w:val="0095691F"/>
    <w:rsid w:val="00961EA4"/>
    <w:rsid w:val="00963488"/>
    <w:rsid w:val="00967125"/>
    <w:rsid w:val="00973498"/>
    <w:rsid w:val="009774BE"/>
    <w:rsid w:val="00980E6B"/>
    <w:rsid w:val="0098232D"/>
    <w:rsid w:val="009870DE"/>
    <w:rsid w:val="009A05C7"/>
    <w:rsid w:val="009B1709"/>
    <w:rsid w:val="009C04A4"/>
    <w:rsid w:val="009C1A00"/>
    <w:rsid w:val="009C7621"/>
    <w:rsid w:val="009C7DCC"/>
    <w:rsid w:val="009D056E"/>
    <w:rsid w:val="009D2B61"/>
    <w:rsid w:val="009D5E0B"/>
    <w:rsid w:val="009D5F0C"/>
    <w:rsid w:val="009E0591"/>
    <w:rsid w:val="009E1F2C"/>
    <w:rsid w:val="009F0302"/>
    <w:rsid w:val="009F36EA"/>
    <w:rsid w:val="009F42D0"/>
    <w:rsid w:val="00A048C2"/>
    <w:rsid w:val="00A12551"/>
    <w:rsid w:val="00A13BE2"/>
    <w:rsid w:val="00A1608B"/>
    <w:rsid w:val="00A20B97"/>
    <w:rsid w:val="00A22C6F"/>
    <w:rsid w:val="00A2745E"/>
    <w:rsid w:val="00A33C58"/>
    <w:rsid w:val="00A34012"/>
    <w:rsid w:val="00A36F2D"/>
    <w:rsid w:val="00A37C5C"/>
    <w:rsid w:val="00A601D2"/>
    <w:rsid w:val="00A6384E"/>
    <w:rsid w:val="00A669BC"/>
    <w:rsid w:val="00A70608"/>
    <w:rsid w:val="00A724B7"/>
    <w:rsid w:val="00A7325C"/>
    <w:rsid w:val="00A82F08"/>
    <w:rsid w:val="00A850AF"/>
    <w:rsid w:val="00A873F7"/>
    <w:rsid w:val="00A878FC"/>
    <w:rsid w:val="00A90242"/>
    <w:rsid w:val="00A92DD8"/>
    <w:rsid w:val="00A94E3F"/>
    <w:rsid w:val="00A977AA"/>
    <w:rsid w:val="00AA5482"/>
    <w:rsid w:val="00AA54E4"/>
    <w:rsid w:val="00AB1ACC"/>
    <w:rsid w:val="00AB3606"/>
    <w:rsid w:val="00AB39B7"/>
    <w:rsid w:val="00AB4D7A"/>
    <w:rsid w:val="00AB55D2"/>
    <w:rsid w:val="00AB6D2C"/>
    <w:rsid w:val="00AC151B"/>
    <w:rsid w:val="00AC700C"/>
    <w:rsid w:val="00AD0026"/>
    <w:rsid w:val="00AD5751"/>
    <w:rsid w:val="00AD6A21"/>
    <w:rsid w:val="00AE4092"/>
    <w:rsid w:val="00AE7CB3"/>
    <w:rsid w:val="00AF2234"/>
    <w:rsid w:val="00AF3A9B"/>
    <w:rsid w:val="00AF7D06"/>
    <w:rsid w:val="00B031C9"/>
    <w:rsid w:val="00B06508"/>
    <w:rsid w:val="00B2181A"/>
    <w:rsid w:val="00B23309"/>
    <w:rsid w:val="00B23D4D"/>
    <w:rsid w:val="00B249CE"/>
    <w:rsid w:val="00B3147E"/>
    <w:rsid w:val="00B44C26"/>
    <w:rsid w:val="00B46229"/>
    <w:rsid w:val="00B56E8A"/>
    <w:rsid w:val="00B57D6D"/>
    <w:rsid w:val="00B65B14"/>
    <w:rsid w:val="00B67706"/>
    <w:rsid w:val="00B71A91"/>
    <w:rsid w:val="00B73E83"/>
    <w:rsid w:val="00B76547"/>
    <w:rsid w:val="00B815DD"/>
    <w:rsid w:val="00B82729"/>
    <w:rsid w:val="00B86E9A"/>
    <w:rsid w:val="00B87936"/>
    <w:rsid w:val="00B92287"/>
    <w:rsid w:val="00B92841"/>
    <w:rsid w:val="00BA6A3B"/>
    <w:rsid w:val="00BA6BA4"/>
    <w:rsid w:val="00BB0E01"/>
    <w:rsid w:val="00BB221B"/>
    <w:rsid w:val="00BC0810"/>
    <w:rsid w:val="00BC21B3"/>
    <w:rsid w:val="00BC4AC0"/>
    <w:rsid w:val="00BD4494"/>
    <w:rsid w:val="00BD5C6D"/>
    <w:rsid w:val="00BE08A0"/>
    <w:rsid w:val="00BE610D"/>
    <w:rsid w:val="00BE64A8"/>
    <w:rsid w:val="00BF1A2D"/>
    <w:rsid w:val="00C04E3D"/>
    <w:rsid w:val="00C05DED"/>
    <w:rsid w:val="00C13E01"/>
    <w:rsid w:val="00C14DE0"/>
    <w:rsid w:val="00C16530"/>
    <w:rsid w:val="00C20347"/>
    <w:rsid w:val="00C260C0"/>
    <w:rsid w:val="00C26953"/>
    <w:rsid w:val="00C3383C"/>
    <w:rsid w:val="00C34D71"/>
    <w:rsid w:val="00C35954"/>
    <w:rsid w:val="00C3692F"/>
    <w:rsid w:val="00C55416"/>
    <w:rsid w:val="00C573F2"/>
    <w:rsid w:val="00C60671"/>
    <w:rsid w:val="00C62745"/>
    <w:rsid w:val="00C656AD"/>
    <w:rsid w:val="00C730DB"/>
    <w:rsid w:val="00C764C7"/>
    <w:rsid w:val="00C77C31"/>
    <w:rsid w:val="00C949EC"/>
    <w:rsid w:val="00CC43C5"/>
    <w:rsid w:val="00CD0367"/>
    <w:rsid w:val="00CD2218"/>
    <w:rsid w:val="00CE2E54"/>
    <w:rsid w:val="00CF1BC5"/>
    <w:rsid w:val="00CF70DB"/>
    <w:rsid w:val="00CF7D31"/>
    <w:rsid w:val="00D076F5"/>
    <w:rsid w:val="00D079F7"/>
    <w:rsid w:val="00D1108E"/>
    <w:rsid w:val="00D11725"/>
    <w:rsid w:val="00D23B38"/>
    <w:rsid w:val="00D24DBD"/>
    <w:rsid w:val="00D25A48"/>
    <w:rsid w:val="00D26A21"/>
    <w:rsid w:val="00D30399"/>
    <w:rsid w:val="00D30BAD"/>
    <w:rsid w:val="00D41E87"/>
    <w:rsid w:val="00D42F0D"/>
    <w:rsid w:val="00D46A97"/>
    <w:rsid w:val="00D47B91"/>
    <w:rsid w:val="00D537DE"/>
    <w:rsid w:val="00D63697"/>
    <w:rsid w:val="00D64585"/>
    <w:rsid w:val="00D67787"/>
    <w:rsid w:val="00D80BD7"/>
    <w:rsid w:val="00D8236D"/>
    <w:rsid w:val="00D91C3F"/>
    <w:rsid w:val="00D91C65"/>
    <w:rsid w:val="00D94C63"/>
    <w:rsid w:val="00D953E8"/>
    <w:rsid w:val="00D95E2A"/>
    <w:rsid w:val="00DA26D3"/>
    <w:rsid w:val="00DA3651"/>
    <w:rsid w:val="00DC0DBD"/>
    <w:rsid w:val="00DC105E"/>
    <w:rsid w:val="00DC1544"/>
    <w:rsid w:val="00DC715E"/>
    <w:rsid w:val="00DD1EDB"/>
    <w:rsid w:val="00DD52E6"/>
    <w:rsid w:val="00DD79FE"/>
    <w:rsid w:val="00DE2383"/>
    <w:rsid w:val="00DE604A"/>
    <w:rsid w:val="00DF1B95"/>
    <w:rsid w:val="00DF6858"/>
    <w:rsid w:val="00E05F65"/>
    <w:rsid w:val="00E10889"/>
    <w:rsid w:val="00E14B47"/>
    <w:rsid w:val="00E22DEF"/>
    <w:rsid w:val="00E2315D"/>
    <w:rsid w:val="00E31861"/>
    <w:rsid w:val="00E32D5F"/>
    <w:rsid w:val="00E338C4"/>
    <w:rsid w:val="00E35A4A"/>
    <w:rsid w:val="00E4256E"/>
    <w:rsid w:val="00E55773"/>
    <w:rsid w:val="00E57C94"/>
    <w:rsid w:val="00E658BA"/>
    <w:rsid w:val="00E672B5"/>
    <w:rsid w:val="00E82CC6"/>
    <w:rsid w:val="00E84716"/>
    <w:rsid w:val="00E85401"/>
    <w:rsid w:val="00E85D84"/>
    <w:rsid w:val="00E87C7E"/>
    <w:rsid w:val="00E9392F"/>
    <w:rsid w:val="00EA10AF"/>
    <w:rsid w:val="00EA1BEB"/>
    <w:rsid w:val="00EA3313"/>
    <w:rsid w:val="00EA4FC6"/>
    <w:rsid w:val="00EA5790"/>
    <w:rsid w:val="00EA5BAD"/>
    <w:rsid w:val="00EA5E90"/>
    <w:rsid w:val="00EB5086"/>
    <w:rsid w:val="00EC3364"/>
    <w:rsid w:val="00ED1A1D"/>
    <w:rsid w:val="00ED28FA"/>
    <w:rsid w:val="00ED2FC8"/>
    <w:rsid w:val="00ED34DD"/>
    <w:rsid w:val="00EE1480"/>
    <w:rsid w:val="00EF563D"/>
    <w:rsid w:val="00EF6BD7"/>
    <w:rsid w:val="00F01896"/>
    <w:rsid w:val="00F02A7D"/>
    <w:rsid w:val="00F04438"/>
    <w:rsid w:val="00F04B56"/>
    <w:rsid w:val="00F058FB"/>
    <w:rsid w:val="00F11FA8"/>
    <w:rsid w:val="00F125B4"/>
    <w:rsid w:val="00F2181C"/>
    <w:rsid w:val="00F263C8"/>
    <w:rsid w:val="00F308B1"/>
    <w:rsid w:val="00F31A49"/>
    <w:rsid w:val="00F356F4"/>
    <w:rsid w:val="00F36214"/>
    <w:rsid w:val="00F46841"/>
    <w:rsid w:val="00F51218"/>
    <w:rsid w:val="00F545F7"/>
    <w:rsid w:val="00F62FEF"/>
    <w:rsid w:val="00F7036F"/>
    <w:rsid w:val="00F76A9C"/>
    <w:rsid w:val="00F77555"/>
    <w:rsid w:val="00F809C6"/>
    <w:rsid w:val="00F84AD3"/>
    <w:rsid w:val="00F87D01"/>
    <w:rsid w:val="00F87D7B"/>
    <w:rsid w:val="00F91752"/>
    <w:rsid w:val="00F95E39"/>
    <w:rsid w:val="00FA2C72"/>
    <w:rsid w:val="00FB2CC2"/>
    <w:rsid w:val="00FD0534"/>
    <w:rsid w:val="00FD1C54"/>
    <w:rsid w:val="00FD21C5"/>
    <w:rsid w:val="00FE214F"/>
    <w:rsid w:val="00FE67C0"/>
    <w:rsid w:val="00FF262A"/>
    <w:rsid w:val="00FF50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8D5624"/>
  <w15:chartTrackingRefBased/>
  <w15:docId w15:val="{F22E87FF-9957-453A-BB80-236E8762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N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14"/>
  </w:style>
  <w:style w:type="paragraph" w:styleId="Heading1">
    <w:name w:val="heading 1"/>
    <w:basedOn w:val="Normal"/>
    <w:next w:val="Normal"/>
    <w:link w:val="Heading1Char"/>
    <w:uiPriority w:val="9"/>
    <w:qFormat/>
    <w:rsid w:val="00F3621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21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3621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3621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3621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3621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3621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3621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3621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C65"/>
  </w:style>
  <w:style w:type="paragraph" w:styleId="Footer">
    <w:name w:val="footer"/>
    <w:basedOn w:val="Normal"/>
    <w:link w:val="FooterChar"/>
    <w:uiPriority w:val="99"/>
    <w:unhideWhenUsed/>
    <w:rsid w:val="00D91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C65"/>
  </w:style>
  <w:style w:type="character" w:customStyle="1" w:styleId="Heading1Char">
    <w:name w:val="Heading 1 Char"/>
    <w:basedOn w:val="DefaultParagraphFont"/>
    <w:link w:val="Heading1"/>
    <w:uiPriority w:val="9"/>
    <w:rsid w:val="00F362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1C65"/>
    <w:pPr>
      <w:ind w:left="720"/>
      <w:contextualSpacing/>
    </w:pPr>
  </w:style>
  <w:style w:type="character" w:customStyle="1" w:styleId="Heading2Char">
    <w:name w:val="Heading 2 Char"/>
    <w:basedOn w:val="DefaultParagraphFont"/>
    <w:link w:val="Heading2"/>
    <w:uiPriority w:val="9"/>
    <w:rsid w:val="00F36214"/>
    <w:rPr>
      <w:rFonts w:asciiTheme="majorHAnsi" w:eastAsiaTheme="majorEastAsia" w:hAnsiTheme="majorHAnsi" w:cstheme="majorBidi"/>
      <w:color w:val="404040" w:themeColor="text1" w:themeTint="BF"/>
      <w:sz w:val="28"/>
      <w:szCs w:val="28"/>
    </w:rPr>
  </w:style>
  <w:style w:type="paragraph" w:styleId="TOCHeading">
    <w:name w:val="TOC Heading"/>
    <w:basedOn w:val="Heading1"/>
    <w:next w:val="Normal"/>
    <w:uiPriority w:val="39"/>
    <w:unhideWhenUsed/>
    <w:qFormat/>
    <w:rsid w:val="00F36214"/>
    <w:pPr>
      <w:outlineLvl w:val="9"/>
    </w:pPr>
  </w:style>
  <w:style w:type="paragraph" w:styleId="TOC1">
    <w:name w:val="toc 1"/>
    <w:basedOn w:val="Normal"/>
    <w:next w:val="Normal"/>
    <w:autoRedefine/>
    <w:uiPriority w:val="39"/>
    <w:unhideWhenUsed/>
    <w:rsid w:val="007C77C8"/>
    <w:pPr>
      <w:spacing w:after="100"/>
    </w:pPr>
  </w:style>
  <w:style w:type="paragraph" w:styleId="TOC2">
    <w:name w:val="toc 2"/>
    <w:basedOn w:val="Normal"/>
    <w:next w:val="Normal"/>
    <w:autoRedefine/>
    <w:uiPriority w:val="39"/>
    <w:unhideWhenUsed/>
    <w:rsid w:val="007C77C8"/>
    <w:pPr>
      <w:spacing w:after="100"/>
      <w:ind w:left="220"/>
    </w:pPr>
  </w:style>
  <w:style w:type="character" w:styleId="Hyperlink">
    <w:name w:val="Hyperlink"/>
    <w:basedOn w:val="DefaultParagraphFont"/>
    <w:uiPriority w:val="99"/>
    <w:unhideWhenUsed/>
    <w:rsid w:val="007C77C8"/>
    <w:rPr>
      <w:color w:val="0563C1" w:themeColor="hyperlink"/>
      <w:u w:val="single"/>
    </w:rPr>
  </w:style>
  <w:style w:type="character" w:styleId="CommentReference">
    <w:name w:val="annotation reference"/>
    <w:basedOn w:val="DefaultParagraphFont"/>
    <w:uiPriority w:val="99"/>
    <w:semiHidden/>
    <w:unhideWhenUsed/>
    <w:rsid w:val="00B86E9A"/>
    <w:rPr>
      <w:sz w:val="16"/>
      <w:szCs w:val="16"/>
    </w:rPr>
  </w:style>
  <w:style w:type="paragraph" w:styleId="CommentText">
    <w:name w:val="annotation text"/>
    <w:basedOn w:val="Normal"/>
    <w:link w:val="CommentTextChar"/>
    <w:uiPriority w:val="99"/>
    <w:unhideWhenUsed/>
    <w:rsid w:val="00B86E9A"/>
    <w:pPr>
      <w:spacing w:line="240" w:lineRule="auto"/>
    </w:pPr>
  </w:style>
  <w:style w:type="character" w:customStyle="1" w:styleId="CommentTextChar">
    <w:name w:val="Comment Text Char"/>
    <w:basedOn w:val="DefaultParagraphFont"/>
    <w:link w:val="CommentText"/>
    <w:uiPriority w:val="99"/>
    <w:rsid w:val="00B86E9A"/>
    <w:rPr>
      <w:sz w:val="20"/>
      <w:szCs w:val="20"/>
    </w:rPr>
  </w:style>
  <w:style w:type="paragraph" w:styleId="CommentSubject">
    <w:name w:val="annotation subject"/>
    <w:basedOn w:val="CommentText"/>
    <w:next w:val="CommentText"/>
    <w:link w:val="CommentSubjectChar"/>
    <w:uiPriority w:val="99"/>
    <w:semiHidden/>
    <w:unhideWhenUsed/>
    <w:rsid w:val="00B86E9A"/>
    <w:rPr>
      <w:b/>
      <w:bCs/>
    </w:rPr>
  </w:style>
  <w:style w:type="character" w:customStyle="1" w:styleId="CommentSubjectChar">
    <w:name w:val="Comment Subject Char"/>
    <w:basedOn w:val="CommentTextChar"/>
    <w:link w:val="CommentSubject"/>
    <w:uiPriority w:val="99"/>
    <w:semiHidden/>
    <w:rsid w:val="00B86E9A"/>
    <w:rPr>
      <w:b/>
      <w:bCs/>
      <w:sz w:val="20"/>
      <w:szCs w:val="20"/>
    </w:rPr>
  </w:style>
  <w:style w:type="character" w:customStyle="1" w:styleId="Heading3Char">
    <w:name w:val="Heading 3 Char"/>
    <w:basedOn w:val="DefaultParagraphFont"/>
    <w:link w:val="Heading3"/>
    <w:uiPriority w:val="9"/>
    <w:semiHidden/>
    <w:rsid w:val="00F36214"/>
    <w:rPr>
      <w:rFonts w:asciiTheme="majorHAnsi" w:eastAsiaTheme="majorEastAsia" w:hAnsiTheme="majorHAnsi" w:cstheme="majorBidi"/>
      <w:color w:val="44546A" w:themeColor="text2"/>
      <w:sz w:val="24"/>
      <w:szCs w:val="24"/>
    </w:rPr>
  </w:style>
  <w:style w:type="character" w:styleId="UnresolvedMention">
    <w:name w:val="Unresolved Mention"/>
    <w:basedOn w:val="DefaultParagraphFont"/>
    <w:uiPriority w:val="99"/>
    <w:semiHidden/>
    <w:unhideWhenUsed/>
    <w:rsid w:val="00467AEA"/>
    <w:rPr>
      <w:color w:val="605E5C"/>
      <w:shd w:val="clear" w:color="auto" w:fill="E1DFDD"/>
    </w:rPr>
  </w:style>
  <w:style w:type="character" w:customStyle="1" w:styleId="Heading4Char">
    <w:name w:val="Heading 4 Char"/>
    <w:basedOn w:val="DefaultParagraphFont"/>
    <w:link w:val="Heading4"/>
    <w:uiPriority w:val="9"/>
    <w:semiHidden/>
    <w:rsid w:val="00F3621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3621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3621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3621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3621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3621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3621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36214"/>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F3621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F3621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36214"/>
    <w:rPr>
      <w:rFonts w:asciiTheme="majorHAnsi" w:eastAsiaTheme="majorEastAsia" w:hAnsiTheme="majorHAnsi" w:cstheme="majorBidi"/>
      <w:sz w:val="24"/>
      <w:szCs w:val="24"/>
    </w:rPr>
  </w:style>
  <w:style w:type="character" w:styleId="Strong">
    <w:name w:val="Strong"/>
    <w:basedOn w:val="DefaultParagraphFont"/>
    <w:uiPriority w:val="22"/>
    <w:qFormat/>
    <w:rsid w:val="00F36214"/>
    <w:rPr>
      <w:b/>
      <w:bCs/>
    </w:rPr>
  </w:style>
  <w:style w:type="character" w:styleId="Emphasis">
    <w:name w:val="Emphasis"/>
    <w:basedOn w:val="DefaultParagraphFont"/>
    <w:uiPriority w:val="20"/>
    <w:qFormat/>
    <w:rsid w:val="00F36214"/>
    <w:rPr>
      <w:i/>
      <w:iCs/>
    </w:rPr>
  </w:style>
  <w:style w:type="paragraph" w:styleId="NoSpacing">
    <w:name w:val="No Spacing"/>
    <w:uiPriority w:val="1"/>
    <w:qFormat/>
    <w:rsid w:val="00F36214"/>
    <w:pPr>
      <w:spacing w:after="0" w:line="240" w:lineRule="auto"/>
    </w:pPr>
  </w:style>
  <w:style w:type="paragraph" w:styleId="Quote">
    <w:name w:val="Quote"/>
    <w:basedOn w:val="Normal"/>
    <w:next w:val="Normal"/>
    <w:link w:val="QuoteChar"/>
    <w:uiPriority w:val="29"/>
    <w:qFormat/>
    <w:rsid w:val="00F3621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36214"/>
    <w:rPr>
      <w:i/>
      <w:iCs/>
      <w:color w:val="404040" w:themeColor="text1" w:themeTint="BF"/>
    </w:rPr>
  </w:style>
  <w:style w:type="paragraph" w:styleId="IntenseQuote">
    <w:name w:val="Intense Quote"/>
    <w:basedOn w:val="Normal"/>
    <w:next w:val="Normal"/>
    <w:link w:val="IntenseQuoteChar"/>
    <w:uiPriority w:val="30"/>
    <w:qFormat/>
    <w:rsid w:val="00F3621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3621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36214"/>
    <w:rPr>
      <w:i/>
      <w:iCs/>
      <w:color w:val="404040" w:themeColor="text1" w:themeTint="BF"/>
    </w:rPr>
  </w:style>
  <w:style w:type="character" w:styleId="IntenseEmphasis">
    <w:name w:val="Intense Emphasis"/>
    <w:basedOn w:val="DefaultParagraphFont"/>
    <w:uiPriority w:val="21"/>
    <w:qFormat/>
    <w:rsid w:val="00F36214"/>
    <w:rPr>
      <w:b/>
      <w:bCs/>
      <w:i/>
      <w:iCs/>
    </w:rPr>
  </w:style>
  <w:style w:type="character" w:styleId="SubtleReference">
    <w:name w:val="Subtle Reference"/>
    <w:basedOn w:val="DefaultParagraphFont"/>
    <w:uiPriority w:val="31"/>
    <w:qFormat/>
    <w:rsid w:val="00F362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6214"/>
    <w:rPr>
      <w:b/>
      <w:bCs/>
      <w:smallCaps/>
      <w:spacing w:val="5"/>
      <w:u w:val="single"/>
    </w:rPr>
  </w:style>
  <w:style w:type="character" w:styleId="BookTitle">
    <w:name w:val="Book Title"/>
    <w:basedOn w:val="DefaultParagraphFont"/>
    <w:uiPriority w:val="33"/>
    <w:qFormat/>
    <w:rsid w:val="00F36214"/>
    <w:rPr>
      <w:b/>
      <w:bCs/>
      <w:smallCaps/>
    </w:rPr>
  </w:style>
  <w:style w:type="paragraph" w:styleId="Revision">
    <w:name w:val="Revision"/>
    <w:hidden/>
    <w:uiPriority w:val="99"/>
    <w:semiHidden/>
    <w:rsid w:val="00196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254992">
      <w:bodyDiv w:val="1"/>
      <w:marLeft w:val="0"/>
      <w:marRight w:val="0"/>
      <w:marTop w:val="0"/>
      <w:marBottom w:val="0"/>
      <w:divBdr>
        <w:top w:val="none" w:sz="0" w:space="0" w:color="auto"/>
        <w:left w:val="none" w:sz="0" w:space="0" w:color="auto"/>
        <w:bottom w:val="none" w:sz="0" w:space="0" w:color="auto"/>
        <w:right w:val="none" w:sz="0" w:space="0" w:color="auto"/>
      </w:divBdr>
    </w:div>
    <w:div w:id="968365323">
      <w:bodyDiv w:val="1"/>
      <w:marLeft w:val="0"/>
      <w:marRight w:val="0"/>
      <w:marTop w:val="0"/>
      <w:marBottom w:val="0"/>
      <w:divBdr>
        <w:top w:val="none" w:sz="0" w:space="0" w:color="auto"/>
        <w:left w:val="none" w:sz="0" w:space="0" w:color="auto"/>
        <w:bottom w:val="none" w:sz="0" w:space="0" w:color="auto"/>
        <w:right w:val="none" w:sz="0" w:space="0" w:color="auto"/>
      </w:divBdr>
    </w:div>
    <w:div w:id="1442334141">
      <w:bodyDiv w:val="1"/>
      <w:marLeft w:val="0"/>
      <w:marRight w:val="0"/>
      <w:marTop w:val="0"/>
      <w:marBottom w:val="0"/>
      <w:divBdr>
        <w:top w:val="none" w:sz="0" w:space="0" w:color="auto"/>
        <w:left w:val="none" w:sz="0" w:space="0" w:color="auto"/>
        <w:bottom w:val="none" w:sz="0" w:space="0" w:color="auto"/>
        <w:right w:val="none" w:sz="0" w:space="0" w:color="auto"/>
      </w:divBdr>
    </w:div>
    <w:div w:id="17981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miles\AppData\Local\Microsoft\Windows\INetCache\Content.Outlook\WYN7L4RR\&#8216;https:\neac.health.govt.nz\about-us\terms-of-referenc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26B47-75B7-4231-8821-7BD4C4D7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4920</Words>
  <Characters>28047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Miles</dc:creator>
  <cp:keywords/>
  <dc:description/>
  <cp:lastModifiedBy>Courtney Parnell</cp:lastModifiedBy>
  <cp:revision>15</cp:revision>
  <dcterms:created xsi:type="dcterms:W3CDTF">2022-07-12T06:43:00Z</dcterms:created>
  <dcterms:modified xsi:type="dcterms:W3CDTF">2022-08-31T22:56:00Z</dcterms:modified>
</cp:coreProperties>
</file>