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09E7" w14:textId="7D0790B4" w:rsidR="00C448A2" w:rsidRDefault="00C448A2" w:rsidP="00C448A2">
      <w:pPr>
        <w:pStyle w:val="Subhead"/>
        <w:spacing w:before="960"/>
        <w:ind w:right="2693"/>
        <w:rPr>
          <w:rFonts w:ascii="Segoe UI Black" w:hAnsi="Segoe UI Black" w:cs="Lucida Sans Unicode"/>
          <w:b/>
          <w:color w:val="000000" w:themeColor="text1"/>
          <w:sz w:val="72"/>
          <w:szCs w:val="72"/>
        </w:rPr>
      </w:pPr>
      <w:r w:rsidRPr="008565C1">
        <w:rPr>
          <w:rFonts w:cs="Arial"/>
          <w:noProof/>
          <w:highlight w:val="yellow"/>
          <w:lang w:eastAsia="en-NZ"/>
        </w:rPr>
        <w:drawing>
          <wp:anchor distT="0" distB="0" distL="114300" distR="114300" simplePos="0" relativeHeight="251659264" behindDoc="0" locked="0" layoutInCell="1" allowOverlap="1" wp14:anchorId="0E3B8005" wp14:editId="5E25BBE2">
            <wp:simplePos x="0" y="0"/>
            <wp:positionH relativeFrom="margin">
              <wp:posOffset>0</wp:posOffset>
            </wp:positionH>
            <wp:positionV relativeFrom="paragraph">
              <wp:posOffset>-1338959</wp:posOffset>
            </wp:positionV>
            <wp:extent cx="3420409" cy="1615440"/>
            <wp:effectExtent l="0" t="0" r="8890" b="3810"/>
            <wp:wrapNone/>
            <wp:docPr id="14" name="Picture 14" descr="National Ethic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0409"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8A2">
        <w:rPr>
          <w:rFonts w:ascii="Segoe UI Black" w:hAnsi="Segoe UI Black" w:cs="Lucida Sans Unicode"/>
          <w:b/>
          <w:color w:val="000000" w:themeColor="text1"/>
          <w:sz w:val="72"/>
          <w:szCs w:val="72"/>
        </w:rPr>
        <w:t>Summary of Submissions</w:t>
      </w:r>
    </w:p>
    <w:p w14:paraId="06214B50" w14:textId="3873A156" w:rsidR="001F7C66" w:rsidRPr="00C448A2" w:rsidRDefault="00C448A2" w:rsidP="00C448A2">
      <w:pPr>
        <w:pStyle w:val="Subhead"/>
        <w:spacing w:before="960"/>
        <w:ind w:right="2693"/>
        <w:rPr>
          <w:rFonts w:ascii="Segoe UI Black" w:hAnsi="Segoe UI Black" w:cs="Lucida Sans Unicode"/>
          <w:color w:val="000000" w:themeColor="text1"/>
          <w:sz w:val="44"/>
          <w:szCs w:val="44"/>
        </w:rPr>
      </w:pPr>
      <w:r w:rsidRPr="00C448A2">
        <w:rPr>
          <w:rFonts w:ascii="Segoe UI Black" w:hAnsi="Segoe UI Black" w:cs="Lucida Sans Unicode"/>
          <w:b/>
          <w:color w:val="000000" w:themeColor="text1"/>
          <w:sz w:val="44"/>
          <w:szCs w:val="44"/>
        </w:rPr>
        <w:t>Consultation on the Draft Ethical Framework for Resource Allocation in Times of Scarcity</w:t>
      </w:r>
    </w:p>
    <w:p w14:paraId="4A9CDDE4" w14:textId="77777777" w:rsidR="00C05132" w:rsidRPr="00434299" w:rsidRDefault="00C05132" w:rsidP="00A06BE4">
      <w:pPr>
        <w:rPr>
          <w:color w:val="000000" w:themeColor="text1"/>
        </w:rPr>
      </w:pPr>
    </w:p>
    <w:p w14:paraId="7EF953CF" w14:textId="77777777" w:rsidR="00142954" w:rsidRPr="00434299" w:rsidRDefault="00142954" w:rsidP="00142954">
      <w:pPr>
        <w:rPr>
          <w:color w:val="000000" w:themeColor="text1"/>
        </w:rPr>
        <w:sectPr w:rsidR="00142954" w:rsidRPr="00434299" w:rsidSect="005A79E5">
          <w:headerReference w:type="default" r:id="rId13"/>
          <w:footerReference w:type="default" r:id="rId14"/>
          <w:pgSz w:w="11907" w:h="16834" w:code="9"/>
          <w:pgMar w:top="5670" w:right="1134" w:bottom="1134" w:left="1134" w:header="567" w:footer="851" w:gutter="0"/>
          <w:pgNumType w:start="1"/>
          <w:cols w:space="720"/>
        </w:sectPr>
      </w:pPr>
    </w:p>
    <w:p w14:paraId="447F2F5C" w14:textId="620DB000" w:rsidR="002519C7" w:rsidRDefault="002519C7" w:rsidP="002519C7">
      <w:pPr>
        <w:pStyle w:val="Imprint"/>
        <w:rPr>
          <w:rFonts w:cs="Segoe UI"/>
          <w:color w:val="000000" w:themeColor="text1"/>
        </w:rPr>
      </w:pPr>
      <w:r w:rsidRPr="002519C7">
        <w:rPr>
          <w:rFonts w:cs="Segoe UI"/>
          <w:color w:val="000000" w:themeColor="text1"/>
        </w:rPr>
        <w:lastRenderedPageBreak/>
        <w:t xml:space="preserve">Citation: Ministry of Health. 2020. </w:t>
      </w:r>
      <w:r w:rsidR="00C448A2" w:rsidRPr="00C448A2">
        <w:rPr>
          <w:rFonts w:cs="Segoe UI"/>
          <w:i/>
          <w:color w:val="000000" w:themeColor="text1"/>
        </w:rPr>
        <w:t>Summary of Submissions</w:t>
      </w:r>
      <w:r w:rsidRPr="002519C7">
        <w:rPr>
          <w:rFonts w:cs="Segoe UI"/>
          <w:i/>
          <w:color w:val="000000" w:themeColor="text1"/>
        </w:rPr>
        <w:t xml:space="preserve">: </w:t>
      </w:r>
      <w:r w:rsidR="00C448A2" w:rsidRPr="00C448A2">
        <w:rPr>
          <w:rFonts w:cs="Segoe UI"/>
          <w:i/>
          <w:color w:val="000000" w:themeColor="text1"/>
        </w:rPr>
        <w:t>Consultation on the Draft Ethical Framework for Resource Allocation in Times of Scarcity</w:t>
      </w:r>
      <w:r w:rsidRPr="002519C7">
        <w:rPr>
          <w:rFonts w:cs="Segoe UI"/>
          <w:color w:val="000000" w:themeColor="text1"/>
        </w:rPr>
        <w:t>.</w:t>
      </w:r>
      <w:r>
        <w:rPr>
          <w:rFonts w:cs="Segoe UI"/>
          <w:color w:val="000000" w:themeColor="text1"/>
        </w:rPr>
        <w:t xml:space="preserve"> </w:t>
      </w:r>
      <w:r w:rsidRPr="002519C7">
        <w:rPr>
          <w:rFonts w:cs="Segoe UI"/>
          <w:color w:val="000000" w:themeColor="text1"/>
        </w:rPr>
        <w:t>Wellington: Ministry of Health.</w:t>
      </w:r>
    </w:p>
    <w:p w14:paraId="320CB22C" w14:textId="5E262339" w:rsidR="00C86248" w:rsidRPr="00434299" w:rsidRDefault="00C86248" w:rsidP="002519C7">
      <w:pPr>
        <w:pStyle w:val="Imprint"/>
        <w:rPr>
          <w:color w:val="000000" w:themeColor="text1"/>
        </w:rPr>
      </w:pPr>
      <w:r w:rsidRPr="00434299">
        <w:rPr>
          <w:color w:val="000000" w:themeColor="text1"/>
        </w:rPr>
        <w:t xml:space="preserve">Published in </w:t>
      </w:r>
      <w:r w:rsidR="00CD0215">
        <w:rPr>
          <w:color w:val="000000" w:themeColor="text1"/>
        </w:rPr>
        <w:t>October</w:t>
      </w:r>
      <w:r w:rsidR="006C69BF" w:rsidRPr="00D847EB">
        <w:rPr>
          <w:color w:val="000000" w:themeColor="text1"/>
        </w:rPr>
        <w:t xml:space="preserve"> </w:t>
      </w:r>
      <w:r w:rsidR="00F6065C" w:rsidRPr="00D847EB">
        <w:rPr>
          <w:color w:val="000000" w:themeColor="text1"/>
        </w:rPr>
        <w:t>20</w:t>
      </w:r>
      <w:r w:rsidR="006C69BF" w:rsidRPr="00D847EB">
        <w:rPr>
          <w:color w:val="000000" w:themeColor="text1"/>
        </w:rPr>
        <w:t>20</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14:paraId="2C1C0892" w14:textId="4B528DA0" w:rsidR="00082CD6" w:rsidRPr="00434299" w:rsidRDefault="00D863D0" w:rsidP="00082CD6">
      <w:pPr>
        <w:pStyle w:val="Imprint"/>
        <w:rPr>
          <w:color w:val="000000" w:themeColor="text1"/>
        </w:rPr>
      </w:pPr>
      <w:r w:rsidRPr="007F368B">
        <w:rPr>
          <w:color w:val="000000" w:themeColor="text1"/>
        </w:rPr>
        <w:t>ISBN</w:t>
      </w:r>
      <w:r w:rsidR="00442C1C" w:rsidRPr="007F368B">
        <w:rPr>
          <w:color w:val="000000" w:themeColor="text1"/>
        </w:rPr>
        <w:t xml:space="preserve"> </w:t>
      </w:r>
      <w:r w:rsidR="00F53AFD" w:rsidRPr="00F1319A">
        <w:rPr>
          <w:color w:val="000000" w:themeColor="text1"/>
        </w:rPr>
        <w:t>978-1-99-002941-7</w:t>
      </w:r>
      <w:r w:rsidR="00F53AFD" w:rsidRPr="007F368B">
        <w:rPr>
          <w:color w:val="000000" w:themeColor="text1"/>
        </w:rPr>
        <w:t xml:space="preserve"> </w:t>
      </w:r>
      <w:r w:rsidRPr="007F368B">
        <w:rPr>
          <w:color w:val="000000" w:themeColor="text1"/>
        </w:rPr>
        <w:t>(</w:t>
      </w:r>
      <w:r w:rsidR="00442C1C" w:rsidRPr="007F368B">
        <w:rPr>
          <w:color w:val="000000" w:themeColor="text1"/>
        </w:rPr>
        <w:t>online</w:t>
      </w:r>
      <w:r w:rsidRPr="007F368B">
        <w:rPr>
          <w:color w:val="000000" w:themeColor="text1"/>
        </w:rPr>
        <w:t>)</w:t>
      </w:r>
      <w:r w:rsidR="00082CD6" w:rsidRPr="007F368B">
        <w:rPr>
          <w:color w:val="000000" w:themeColor="text1"/>
        </w:rPr>
        <w:br/>
        <w:t xml:space="preserve">HP </w:t>
      </w:r>
      <w:r w:rsidR="00F1319A">
        <w:rPr>
          <w:color w:val="000000" w:themeColor="text1"/>
        </w:rPr>
        <w:t>7473</w:t>
      </w:r>
    </w:p>
    <w:p w14:paraId="4A818090"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69E523DB" wp14:editId="169D777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52DDEA4"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5918064" w14:textId="77777777" w:rsidTr="00A63DFF">
        <w:trPr>
          <w:cantSplit/>
        </w:trPr>
        <w:tc>
          <w:tcPr>
            <w:tcW w:w="1526" w:type="dxa"/>
          </w:tcPr>
          <w:p w14:paraId="2BC31A9D"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31FC7063" wp14:editId="3C70583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6E0B520"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59F7483B" w14:textId="77777777" w:rsidR="007E74F1" w:rsidRPr="00434299" w:rsidRDefault="007E74F1" w:rsidP="00A63DFF">
      <w:pPr>
        <w:rPr>
          <w:color w:val="000000" w:themeColor="text1"/>
        </w:rPr>
      </w:pPr>
    </w:p>
    <w:p w14:paraId="7E9AD958" w14:textId="77777777" w:rsidR="00C86248" w:rsidRPr="00434299" w:rsidRDefault="00C86248">
      <w:pPr>
        <w:jc w:val="center"/>
        <w:rPr>
          <w:color w:val="000000" w:themeColor="text1"/>
        </w:rPr>
        <w:sectPr w:rsidR="00C86248" w:rsidRPr="00434299" w:rsidSect="00C05132">
          <w:footerReference w:type="even" r:id="rId17"/>
          <w:footerReference w:type="default" r:id="rId18"/>
          <w:pgSz w:w="11907" w:h="16834" w:code="9"/>
          <w:pgMar w:top="1701" w:right="2268" w:bottom="1134" w:left="2268" w:header="0" w:footer="0" w:gutter="0"/>
          <w:cols w:space="720"/>
          <w:vAlign w:val="bottom"/>
        </w:sectPr>
      </w:pPr>
    </w:p>
    <w:p w14:paraId="159103FA" w14:textId="77777777" w:rsidR="00C86248" w:rsidRPr="005026EE" w:rsidRDefault="00C86248" w:rsidP="00EB06C1">
      <w:pPr>
        <w:pStyle w:val="IntroHead"/>
        <w:keepNext/>
        <w:pageBreakBefore w:val="0"/>
      </w:pPr>
      <w:bookmarkStart w:id="0" w:name="_Toc405792991"/>
      <w:bookmarkStart w:id="1" w:name="_Toc405793224"/>
      <w:r w:rsidRPr="00EB06C1">
        <w:lastRenderedPageBreak/>
        <w:t>Contents</w:t>
      </w:r>
      <w:bookmarkEnd w:id="0"/>
      <w:bookmarkEnd w:id="1"/>
    </w:p>
    <w:p w14:paraId="2E39F965" w14:textId="5BBBDF3E" w:rsidR="00F2467F" w:rsidRDefault="00337885">
      <w:pPr>
        <w:pStyle w:val="TOC1"/>
        <w:rPr>
          <w:rFonts w:asciiTheme="minorHAnsi" w:eastAsiaTheme="minorEastAsia" w:hAnsiTheme="minorHAnsi" w:cstheme="minorBidi"/>
          <w:noProof/>
          <w:sz w:val="22"/>
          <w:szCs w:val="22"/>
          <w:lang w:val="en-AU" w:eastAsia="en-AU"/>
        </w:rPr>
      </w:pPr>
      <w:r>
        <w:rPr>
          <w:color w:val="000000" w:themeColor="text1"/>
        </w:rPr>
        <w:fldChar w:fldCharType="begin"/>
      </w:r>
      <w:r>
        <w:rPr>
          <w:color w:val="000000" w:themeColor="text1"/>
        </w:rPr>
        <w:instrText xml:space="preserve"> TOC \o "1-2" \h \z </w:instrText>
      </w:r>
      <w:r>
        <w:rPr>
          <w:color w:val="000000" w:themeColor="text1"/>
        </w:rPr>
        <w:fldChar w:fldCharType="separate"/>
      </w:r>
      <w:hyperlink w:anchor="_Toc50491714" w:history="1">
        <w:r w:rsidR="00F2467F" w:rsidRPr="006224D9">
          <w:rPr>
            <w:rStyle w:val="Hyperlink"/>
            <w:noProof/>
          </w:rPr>
          <w:t>Background</w:t>
        </w:r>
        <w:r w:rsidR="00F2467F">
          <w:rPr>
            <w:noProof/>
            <w:webHidden/>
          </w:rPr>
          <w:tab/>
        </w:r>
        <w:r w:rsidR="00F2467F">
          <w:rPr>
            <w:noProof/>
            <w:webHidden/>
          </w:rPr>
          <w:fldChar w:fldCharType="begin"/>
        </w:r>
        <w:r w:rsidR="00F2467F">
          <w:rPr>
            <w:noProof/>
            <w:webHidden/>
          </w:rPr>
          <w:instrText xml:space="preserve"> PAGEREF _Toc50491714 \h </w:instrText>
        </w:r>
        <w:r w:rsidR="00F2467F">
          <w:rPr>
            <w:noProof/>
            <w:webHidden/>
          </w:rPr>
        </w:r>
        <w:r w:rsidR="00F2467F">
          <w:rPr>
            <w:noProof/>
            <w:webHidden/>
          </w:rPr>
          <w:fldChar w:fldCharType="separate"/>
        </w:r>
        <w:r w:rsidR="00493B07">
          <w:rPr>
            <w:noProof/>
            <w:webHidden/>
          </w:rPr>
          <w:t>1</w:t>
        </w:r>
        <w:r w:rsidR="00F2467F">
          <w:rPr>
            <w:noProof/>
            <w:webHidden/>
          </w:rPr>
          <w:fldChar w:fldCharType="end"/>
        </w:r>
      </w:hyperlink>
    </w:p>
    <w:p w14:paraId="01216180" w14:textId="4E4CCB45" w:rsidR="00F2467F" w:rsidRDefault="00062898">
      <w:pPr>
        <w:pStyle w:val="TOC2"/>
        <w:rPr>
          <w:rFonts w:asciiTheme="minorHAnsi" w:eastAsiaTheme="minorEastAsia" w:hAnsiTheme="minorHAnsi" w:cstheme="minorBidi"/>
          <w:noProof/>
          <w:szCs w:val="22"/>
          <w:lang w:val="en-AU" w:eastAsia="en-AU"/>
        </w:rPr>
      </w:pPr>
      <w:hyperlink w:anchor="_Toc50491715" w:history="1">
        <w:r w:rsidR="00F2467F" w:rsidRPr="006224D9">
          <w:rPr>
            <w:rStyle w:val="Hyperlink"/>
            <w:rFonts w:eastAsiaTheme="minorHAnsi"/>
            <w:noProof/>
          </w:rPr>
          <w:t>The National Ethics Advisory Committee</w:t>
        </w:r>
        <w:r w:rsidR="00F2467F">
          <w:rPr>
            <w:noProof/>
            <w:webHidden/>
          </w:rPr>
          <w:tab/>
        </w:r>
        <w:r w:rsidR="00F2467F">
          <w:rPr>
            <w:noProof/>
            <w:webHidden/>
          </w:rPr>
          <w:fldChar w:fldCharType="begin"/>
        </w:r>
        <w:r w:rsidR="00F2467F">
          <w:rPr>
            <w:noProof/>
            <w:webHidden/>
          </w:rPr>
          <w:instrText xml:space="preserve"> PAGEREF _Toc50491715 \h </w:instrText>
        </w:r>
        <w:r w:rsidR="00F2467F">
          <w:rPr>
            <w:noProof/>
            <w:webHidden/>
          </w:rPr>
        </w:r>
        <w:r w:rsidR="00F2467F">
          <w:rPr>
            <w:noProof/>
            <w:webHidden/>
          </w:rPr>
          <w:fldChar w:fldCharType="separate"/>
        </w:r>
        <w:r w:rsidR="00493B07">
          <w:rPr>
            <w:noProof/>
            <w:webHidden/>
          </w:rPr>
          <w:t>1</w:t>
        </w:r>
        <w:r w:rsidR="00F2467F">
          <w:rPr>
            <w:noProof/>
            <w:webHidden/>
          </w:rPr>
          <w:fldChar w:fldCharType="end"/>
        </w:r>
      </w:hyperlink>
    </w:p>
    <w:p w14:paraId="78A61BC0" w14:textId="043FB075" w:rsidR="00F2467F" w:rsidRDefault="00062898">
      <w:pPr>
        <w:pStyle w:val="TOC2"/>
        <w:rPr>
          <w:rFonts w:asciiTheme="minorHAnsi" w:eastAsiaTheme="minorEastAsia" w:hAnsiTheme="minorHAnsi" w:cstheme="minorBidi"/>
          <w:noProof/>
          <w:szCs w:val="22"/>
          <w:lang w:val="en-AU" w:eastAsia="en-AU"/>
        </w:rPr>
      </w:pPr>
      <w:hyperlink w:anchor="_Toc50491716" w:history="1">
        <w:r w:rsidR="00F2467F" w:rsidRPr="006224D9">
          <w:rPr>
            <w:rStyle w:val="Hyperlink"/>
            <w:noProof/>
          </w:rPr>
          <w:t>Developing the Framework</w:t>
        </w:r>
        <w:r w:rsidR="00F2467F">
          <w:rPr>
            <w:noProof/>
            <w:webHidden/>
          </w:rPr>
          <w:tab/>
        </w:r>
        <w:r w:rsidR="00F2467F">
          <w:rPr>
            <w:noProof/>
            <w:webHidden/>
          </w:rPr>
          <w:fldChar w:fldCharType="begin"/>
        </w:r>
        <w:r w:rsidR="00F2467F">
          <w:rPr>
            <w:noProof/>
            <w:webHidden/>
          </w:rPr>
          <w:instrText xml:space="preserve"> PAGEREF _Toc50491716 \h </w:instrText>
        </w:r>
        <w:r w:rsidR="00F2467F">
          <w:rPr>
            <w:noProof/>
            <w:webHidden/>
          </w:rPr>
        </w:r>
        <w:r w:rsidR="00F2467F">
          <w:rPr>
            <w:noProof/>
            <w:webHidden/>
          </w:rPr>
          <w:fldChar w:fldCharType="separate"/>
        </w:r>
        <w:r w:rsidR="00493B07">
          <w:rPr>
            <w:noProof/>
            <w:webHidden/>
          </w:rPr>
          <w:t>1</w:t>
        </w:r>
        <w:r w:rsidR="00F2467F">
          <w:rPr>
            <w:noProof/>
            <w:webHidden/>
          </w:rPr>
          <w:fldChar w:fldCharType="end"/>
        </w:r>
      </w:hyperlink>
    </w:p>
    <w:p w14:paraId="1783940F" w14:textId="1E22FF60" w:rsidR="00F2467F" w:rsidRDefault="00062898">
      <w:pPr>
        <w:pStyle w:val="TOC2"/>
        <w:rPr>
          <w:rFonts w:asciiTheme="minorHAnsi" w:eastAsiaTheme="minorEastAsia" w:hAnsiTheme="minorHAnsi" w:cstheme="minorBidi"/>
          <w:noProof/>
          <w:szCs w:val="22"/>
          <w:lang w:val="en-AU" w:eastAsia="en-AU"/>
        </w:rPr>
      </w:pPr>
      <w:hyperlink w:anchor="_Toc50491717" w:history="1">
        <w:r w:rsidR="00F2467F" w:rsidRPr="006224D9">
          <w:rPr>
            <w:rStyle w:val="Hyperlink"/>
            <w:noProof/>
          </w:rPr>
          <w:t xml:space="preserve">Update of </w:t>
        </w:r>
        <w:r w:rsidR="00F2467F" w:rsidRPr="006224D9">
          <w:rPr>
            <w:rStyle w:val="Hyperlink"/>
            <w:i/>
            <w:noProof/>
          </w:rPr>
          <w:t>Getting Through Together</w:t>
        </w:r>
        <w:r w:rsidR="00F2467F">
          <w:rPr>
            <w:noProof/>
            <w:webHidden/>
          </w:rPr>
          <w:tab/>
        </w:r>
        <w:r w:rsidR="00F2467F">
          <w:rPr>
            <w:noProof/>
            <w:webHidden/>
          </w:rPr>
          <w:fldChar w:fldCharType="begin"/>
        </w:r>
        <w:r w:rsidR="00F2467F">
          <w:rPr>
            <w:noProof/>
            <w:webHidden/>
          </w:rPr>
          <w:instrText xml:space="preserve"> PAGEREF _Toc50491717 \h </w:instrText>
        </w:r>
        <w:r w:rsidR="00F2467F">
          <w:rPr>
            <w:noProof/>
            <w:webHidden/>
          </w:rPr>
        </w:r>
        <w:r w:rsidR="00F2467F">
          <w:rPr>
            <w:noProof/>
            <w:webHidden/>
          </w:rPr>
          <w:fldChar w:fldCharType="separate"/>
        </w:r>
        <w:r w:rsidR="00493B07">
          <w:rPr>
            <w:noProof/>
            <w:webHidden/>
          </w:rPr>
          <w:t>2</w:t>
        </w:r>
        <w:r w:rsidR="00F2467F">
          <w:rPr>
            <w:noProof/>
            <w:webHidden/>
          </w:rPr>
          <w:fldChar w:fldCharType="end"/>
        </w:r>
      </w:hyperlink>
    </w:p>
    <w:p w14:paraId="2DD3B37B" w14:textId="39B34637" w:rsidR="00F2467F" w:rsidRDefault="00062898">
      <w:pPr>
        <w:pStyle w:val="TOC2"/>
        <w:rPr>
          <w:rFonts w:asciiTheme="minorHAnsi" w:eastAsiaTheme="minorEastAsia" w:hAnsiTheme="minorHAnsi" w:cstheme="minorBidi"/>
          <w:noProof/>
          <w:szCs w:val="22"/>
          <w:lang w:val="en-AU" w:eastAsia="en-AU"/>
        </w:rPr>
      </w:pPr>
      <w:hyperlink w:anchor="_Toc50491718" w:history="1">
        <w:r w:rsidR="00F2467F" w:rsidRPr="006224D9">
          <w:rPr>
            <w:rStyle w:val="Hyperlink"/>
            <w:noProof/>
          </w:rPr>
          <w:t>NEAC Members</w:t>
        </w:r>
        <w:r w:rsidR="00F2467F">
          <w:rPr>
            <w:noProof/>
            <w:webHidden/>
          </w:rPr>
          <w:tab/>
        </w:r>
        <w:r w:rsidR="00F2467F">
          <w:rPr>
            <w:noProof/>
            <w:webHidden/>
          </w:rPr>
          <w:fldChar w:fldCharType="begin"/>
        </w:r>
        <w:r w:rsidR="00F2467F">
          <w:rPr>
            <w:noProof/>
            <w:webHidden/>
          </w:rPr>
          <w:instrText xml:space="preserve"> PAGEREF _Toc50491718 \h </w:instrText>
        </w:r>
        <w:r w:rsidR="00F2467F">
          <w:rPr>
            <w:noProof/>
            <w:webHidden/>
          </w:rPr>
        </w:r>
        <w:r w:rsidR="00F2467F">
          <w:rPr>
            <w:noProof/>
            <w:webHidden/>
          </w:rPr>
          <w:fldChar w:fldCharType="separate"/>
        </w:r>
        <w:r w:rsidR="00493B07">
          <w:rPr>
            <w:noProof/>
            <w:webHidden/>
          </w:rPr>
          <w:t>2</w:t>
        </w:r>
        <w:r w:rsidR="00F2467F">
          <w:rPr>
            <w:noProof/>
            <w:webHidden/>
          </w:rPr>
          <w:fldChar w:fldCharType="end"/>
        </w:r>
      </w:hyperlink>
    </w:p>
    <w:p w14:paraId="2D9939B8" w14:textId="71F545E5" w:rsidR="00F2467F" w:rsidRDefault="00062898">
      <w:pPr>
        <w:pStyle w:val="TOC1"/>
        <w:rPr>
          <w:rFonts w:asciiTheme="minorHAnsi" w:eastAsiaTheme="minorEastAsia" w:hAnsiTheme="minorHAnsi" w:cstheme="minorBidi"/>
          <w:noProof/>
          <w:sz w:val="22"/>
          <w:szCs w:val="22"/>
          <w:lang w:val="en-AU" w:eastAsia="en-AU"/>
        </w:rPr>
      </w:pPr>
      <w:hyperlink w:anchor="_Toc50491719" w:history="1">
        <w:r w:rsidR="00F2467F" w:rsidRPr="006224D9">
          <w:rPr>
            <w:rStyle w:val="Hyperlink"/>
            <w:noProof/>
          </w:rPr>
          <w:t>Consultation process</w:t>
        </w:r>
        <w:r w:rsidR="00F2467F">
          <w:rPr>
            <w:noProof/>
            <w:webHidden/>
          </w:rPr>
          <w:tab/>
        </w:r>
        <w:r w:rsidR="00F2467F">
          <w:rPr>
            <w:noProof/>
            <w:webHidden/>
          </w:rPr>
          <w:fldChar w:fldCharType="begin"/>
        </w:r>
        <w:r w:rsidR="00F2467F">
          <w:rPr>
            <w:noProof/>
            <w:webHidden/>
          </w:rPr>
          <w:instrText xml:space="preserve"> PAGEREF _Toc50491719 \h </w:instrText>
        </w:r>
        <w:r w:rsidR="00F2467F">
          <w:rPr>
            <w:noProof/>
            <w:webHidden/>
          </w:rPr>
        </w:r>
        <w:r w:rsidR="00F2467F">
          <w:rPr>
            <w:noProof/>
            <w:webHidden/>
          </w:rPr>
          <w:fldChar w:fldCharType="separate"/>
        </w:r>
        <w:r w:rsidR="00493B07">
          <w:rPr>
            <w:noProof/>
            <w:webHidden/>
          </w:rPr>
          <w:t>3</w:t>
        </w:r>
        <w:r w:rsidR="00F2467F">
          <w:rPr>
            <w:noProof/>
            <w:webHidden/>
          </w:rPr>
          <w:fldChar w:fldCharType="end"/>
        </w:r>
      </w:hyperlink>
    </w:p>
    <w:p w14:paraId="6A481EFC" w14:textId="07D6E576" w:rsidR="00F2467F" w:rsidRDefault="00062898">
      <w:pPr>
        <w:pStyle w:val="TOC2"/>
        <w:rPr>
          <w:rFonts w:asciiTheme="minorHAnsi" w:eastAsiaTheme="minorEastAsia" w:hAnsiTheme="minorHAnsi" w:cstheme="minorBidi"/>
          <w:noProof/>
          <w:szCs w:val="22"/>
          <w:lang w:val="en-AU" w:eastAsia="en-AU"/>
        </w:rPr>
      </w:pPr>
      <w:hyperlink w:anchor="_Toc50491720" w:history="1">
        <w:r w:rsidR="00F2467F" w:rsidRPr="006224D9">
          <w:rPr>
            <w:rStyle w:val="Hyperlink"/>
            <w:noProof/>
          </w:rPr>
          <w:t>Dissemination</w:t>
        </w:r>
        <w:r w:rsidR="00F2467F">
          <w:rPr>
            <w:noProof/>
            <w:webHidden/>
          </w:rPr>
          <w:tab/>
        </w:r>
        <w:r w:rsidR="00F2467F">
          <w:rPr>
            <w:noProof/>
            <w:webHidden/>
          </w:rPr>
          <w:fldChar w:fldCharType="begin"/>
        </w:r>
        <w:r w:rsidR="00F2467F">
          <w:rPr>
            <w:noProof/>
            <w:webHidden/>
          </w:rPr>
          <w:instrText xml:space="preserve"> PAGEREF _Toc50491720 \h </w:instrText>
        </w:r>
        <w:r w:rsidR="00F2467F">
          <w:rPr>
            <w:noProof/>
            <w:webHidden/>
          </w:rPr>
        </w:r>
        <w:r w:rsidR="00F2467F">
          <w:rPr>
            <w:noProof/>
            <w:webHidden/>
          </w:rPr>
          <w:fldChar w:fldCharType="separate"/>
        </w:r>
        <w:r w:rsidR="00493B07">
          <w:rPr>
            <w:noProof/>
            <w:webHidden/>
          </w:rPr>
          <w:t>3</w:t>
        </w:r>
        <w:r w:rsidR="00F2467F">
          <w:rPr>
            <w:noProof/>
            <w:webHidden/>
          </w:rPr>
          <w:fldChar w:fldCharType="end"/>
        </w:r>
      </w:hyperlink>
    </w:p>
    <w:p w14:paraId="6BD98CE6" w14:textId="2326B560" w:rsidR="00F2467F" w:rsidRDefault="00062898">
      <w:pPr>
        <w:pStyle w:val="TOC2"/>
        <w:rPr>
          <w:rFonts w:asciiTheme="minorHAnsi" w:eastAsiaTheme="minorEastAsia" w:hAnsiTheme="minorHAnsi" w:cstheme="minorBidi"/>
          <w:noProof/>
          <w:szCs w:val="22"/>
          <w:lang w:val="en-AU" w:eastAsia="en-AU"/>
        </w:rPr>
      </w:pPr>
      <w:hyperlink w:anchor="_Toc50491721" w:history="1">
        <w:r w:rsidR="00F2467F" w:rsidRPr="006224D9">
          <w:rPr>
            <w:rStyle w:val="Hyperlink"/>
            <w:noProof/>
          </w:rPr>
          <w:t>Consultation design</w:t>
        </w:r>
        <w:r w:rsidR="00F2467F">
          <w:rPr>
            <w:noProof/>
            <w:webHidden/>
          </w:rPr>
          <w:tab/>
        </w:r>
        <w:r w:rsidR="00F2467F">
          <w:rPr>
            <w:noProof/>
            <w:webHidden/>
          </w:rPr>
          <w:fldChar w:fldCharType="begin"/>
        </w:r>
        <w:r w:rsidR="00F2467F">
          <w:rPr>
            <w:noProof/>
            <w:webHidden/>
          </w:rPr>
          <w:instrText xml:space="preserve"> PAGEREF _Toc50491721 \h </w:instrText>
        </w:r>
        <w:r w:rsidR="00F2467F">
          <w:rPr>
            <w:noProof/>
            <w:webHidden/>
          </w:rPr>
        </w:r>
        <w:r w:rsidR="00F2467F">
          <w:rPr>
            <w:noProof/>
            <w:webHidden/>
          </w:rPr>
          <w:fldChar w:fldCharType="separate"/>
        </w:r>
        <w:r w:rsidR="00493B07">
          <w:rPr>
            <w:noProof/>
            <w:webHidden/>
          </w:rPr>
          <w:t>3</w:t>
        </w:r>
        <w:r w:rsidR="00F2467F">
          <w:rPr>
            <w:noProof/>
            <w:webHidden/>
          </w:rPr>
          <w:fldChar w:fldCharType="end"/>
        </w:r>
      </w:hyperlink>
    </w:p>
    <w:p w14:paraId="13FF4E37" w14:textId="31208A88" w:rsidR="00F2467F" w:rsidRDefault="00062898">
      <w:pPr>
        <w:pStyle w:val="TOC2"/>
        <w:rPr>
          <w:rFonts w:asciiTheme="minorHAnsi" w:eastAsiaTheme="minorEastAsia" w:hAnsiTheme="minorHAnsi" w:cstheme="minorBidi"/>
          <w:noProof/>
          <w:szCs w:val="22"/>
          <w:lang w:val="en-AU" w:eastAsia="en-AU"/>
        </w:rPr>
      </w:pPr>
      <w:hyperlink w:anchor="_Toc50491722" w:history="1">
        <w:r w:rsidR="00F2467F" w:rsidRPr="006224D9">
          <w:rPr>
            <w:rStyle w:val="Hyperlink"/>
            <w:noProof/>
          </w:rPr>
          <w:t>Public meetings</w:t>
        </w:r>
        <w:r w:rsidR="00F2467F">
          <w:rPr>
            <w:noProof/>
            <w:webHidden/>
          </w:rPr>
          <w:tab/>
        </w:r>
        <w:r w:rsidR="00F2467F">
          <w:rPr>
            <w:noProof/>
            <w:webHidden/>
          </w:rPr>
          <w:fldChar w:fldCharType="begin"/>
        </w:r>
        <w:r w:rsidR="00F2467F">
          <w:rPr>
            <w:noProof/>
            <w:webHidden/>
          </w:rPr>
          <w:instrText xml:space="preserve"> PAGEREF _Toc50491722 \h </w:instrText>
        </w:r>
        <w:r w:rsidR="00F2467F">
          <w:rPr>
            <w:noProof/>
            <w:webHidden/>
          </w:rPr>
        </w:r>
        <w:r w:rsidR="00F2467F">
          <w:rPr>
            <w:noProof/>
            <w:webHidden/>
          </w:rPr>
          <w:fldChar w:fldCharType="separate"/>
        </w:r>
        <w:r w:rsidR="00493B07">
          <w:rPr>
            <w:noProof/>
            <w:webHidden/>
          </w:rPr>
          <w:t>4</w:t>
        </w:r>
        <w:r w:rsidR="00F2467F">
          <w:rPr>
            <w:noProof/>
            <w:webHidden/>
          </w:rPr>
          <w:fldChar w:fldCharType="end"/>
        </w:r>
      </w:hyperlink>
    </w:p>
    <w:p w14:paraId="446854CB" w14:textId="7316EE88" w:rsidR="00F2467F" w:rsidRDefault="00062898">
      <w:pPr>
        <w:pStyle w:val="TOC2"/>
        <w:rPr>
          <w:rFonts w:asciiTheme="minorHAnsi" w:eastAsiaTheme="minorEastAsia" w:hAnsiTheme="minorHAnsi" w:cstheme="minorBidi"/>
          <w:noProof/>
          <w:szCs w:val="22"/>
          <w:lang w:val="en-AU" w:eastAsia="en-AU"/>
        </w:rPr>
      </w:pPr>
      <w:hyperlink w:anchor="_Toc50491723" w:history="1">
        <w:r w:rsidR="00F2467F" w:rsidRPr="006224D9">
          <w:rPr>
            <w:rStyle w:val="Hyperlink"/>
            <w:noProof/>
          </w:rPr>
          <w:t>Consultation meetings</w:t>
        </w:r>
        <w:r w:rsidR="00F2467F">
          <w:rPr>
            <w:noProof/>
            <w:webHidden/>
          </w:rPr>
          <w:tab/>
        </w:r>
        <w:r w:rsidR="00F2467F">
          <w:rPr>
            <w:noProof/>
            <w:webHidden/>
          </w:rPr>
          <w:fldChar w:fldCharType="begin"/>
        </w:r>
        <w:r w:rsidR="00F2467F">
          <w:rPr>
            <w:noProof/>
            <w:webHidden/>
          </w:rPr>
          <w:instrText xml:space="preserve"> PAGEREF _Toc50491723 \h </w:instrText>
        </w:r>
        <w:r w:rsidR="00F2467F">
          <w:rPr>
            <w:noProof/>
            <w:webHidden/>
          </w:rPr>
        </w:r>
        <w:r w:rsidR="00F2467F">
          <w:rPr>
            <w:noProof/>
            <w:webHidden/>
          </w:rPr>
          <w:fldChar w:fldCharType="separate"/>
        </w:r>
        <w:r w:rsidR="00493B07">
          <w:rPr>
            <w:noProof/>
            <w:webHidden/>
          </w:rPr>
          <w:t>4</w:t>
        </w:r>
        <w:r w:rsidR="00F2467F">
          <w:rPr>
            <w:noProof/>
            <w:webHidden/>
          </w:rPr>
          <w:fldChar w:fldCharType="end"/>
        </w:r>
      </w:hyperlink>
    </w:p>
    <w:p w14:paraId="7189CE27" w14:textId="44451151" w:rsidR="00F2467F" w:rsidRDefault="00062898">
      <w:pPr>
        <w:pStyle w:val="TOC1"/>
        <w:rPr>
          <w:rFonts w:asciiTheme="minorHAnsi" w:eastAsiaTheme="minorEastAsia" w:hAnsiTheme="minorHAnsi" w:cstheme="minorBidi"/>
          <w:noProof/>
          <w:sz w:val="22"/>
          <w:szCs w:val="22"/>
          <w:lang w:val="en-AU" w:eastAsia="en-AU"/>
        </w:rPr>
      </w:pPr>
      <w:hyperlink w:anchor="_Toc50491724" w:history="1">
        <w:r w:rsidR="00F2467F" w:rsidRPr="006224D9">
          <w:rPr>
            <w:rStyle w:val="Hyperlink"/>
            <w:noProof/>
          </w:rPr>
          <w:t>Profile of submissions</w:t>
        </w:r>
        <w:r w:rsidR="00F2467F">
          <w:rPr>
            <w:noProof/>
            <w:webHidden/>
          </w:rPr>
          <w:tab/>
        </w:r>
        <w:r w:rsidR="00F2467F">
          <w:rPr>
            <w:noProof/>
            <w:webHidden/>
          </w:rPr>
          <w:fldChar w:fldCharType="begin"/>
        </w:r>
        <w:r w:rsidR="00F2467F">
          <w:rPr>
            <w:noProof/>
            <w:webHidden/>
          </w:rPr>
          <w:instrText xml:space="preserve"> PAGEREF _Toc50491724 \h </w:instrText>
        </w:r>
        <w:r w:rsidR="00F2467F">
          <w:rPr>
            <w:noProof/>
            <w:webHidden/>
          </w:rPr>
        </w:r>
        <w:r w:rsidR="00F2467F">
          <w:rPr>
            <w:noProof/>
            <w:webHidden/>
          </w:rPr>
          <w:fldChar w:fldCharType="separate"/>
        </w:r>
        <w:r w:rsidR="00493B07">
          <w:rPr>
            <w:noProof/>
            <w:webHidden/>
          </w:rPr>
          <w:t>5</w:t>
        </w:r>
        <w:r w:rsidR="00F2467F">
          <w:rPr>
            <w:noProof/>
            <w:webHidden/>
          </w:rPr>
          <w:fldChar w:fldCharType="end"/>
        </w:r>
      </w:hyperlink>
    </w:p>
    <w:p w14:paraId="4EB6A946" w14:textId="701E5D42" w:rsidR="00F2467F" w:rsidRDefault="00062898">
      <w:pPr>
        <w:pStyle w:val="TOC2"/>
        <w:rPr>
          <w:rFonts w:asciiTheme="minorHAnsi" w:eastAsiaTheme="minorEastAsia" w:hAnsiTheme="minorHAnsi" w:cstheme="minorBidi"/>
          <w:noProof/>
          <w:szCs w:val="22"/>
          <w:lang w:val="en-AU" w:eastAsia="en-AU"/>
        </w:rPr>
      </w:pPr>
      <w:hyperlink w:anchor="_Toc50491725" w:history="1">
        <w:r w:rsidR="00F2467F" w:rsidRPr="006224D9">
          <w:rPr>
            <w:rStyle w:val="Hyperlink"/>
            <w:noProof/>
          </w:rPr>
          <w:t>Number of submissions</w:t>
        </w:r>
        <w:r w:rsidR="00F2467F">
          <w:rPr>
            <w:noProof/>
            <w:webHidden/>
          </w:rPr>
          <w:tab/>
        </w:r>
        <w:r w:rsidR="00F2467F">
          <w:rPr>
            <w:noProof/>
            <w:webHidden/>
          </w:rPr>
          <w:fldChar w:fldCharType="begin"/>
        </w:r>
        <w:r w:rsidR="00F2467F">
          <w:rPr>
            <w:noProof/>
            <w:webHidden/>
          </w:rPr>
          <w:instrText xml:space="preserve"> PAGEREF _Toc50491725 \h </w:instrText>
        </w:r>
        <w:r w:rsidR="00F2467F">
          <w:rPr>
            <w:noProof/>
            <w:webHidden/>
          </w:rPr>
        </w:r>
        <w:r w:rsidR="00F2467F">
          <w:rPr>
            <w:noProof/>
            <w:webHidden/>
          </w:rPr>
          <w:fldChar w:fldCharType="separate"/>
        </w:r>
        <w:r w:rsidR="00493B07">
          <w:rPr>
            <w:noProof/>
            <w:webHidden/>
          </w:rPr>
          <w:t>5</w:t>
        </w:r>
        <w:r w:rsidR="00F2467F">
          <w:rPr>
            <w:noProof/>
            <w:webHidden/>
          </w:rPr>
          <w:fldChar w:fldCharType="end"/>
        </w:r>
      </w:hyperlink>
    </w:p>
    <w:p w14:paraId="5088CD0D" w14:textId="2E326A15" w:rsidR="00F2467F" w:rsidRDefault="00062898">
      <w:pPr>
        <w:pStyle w:val="TOC2"/>
        <w:rPr>
          <w:rFonts w:asciiTheme="minorHAnsi" w:eastAsiaTheme="minorEastAsia" w:hAnsiTheme="minorHAnsi" w:cstheme="minorBidi"/>
          <w:noProof/>
          <w:szCs w:val="22"/>
          <w:lang w:val="en-AU" w:eastAsia="en-AU"/>
        </w:rPr>
      </w:pPr>
      <w:hyperlink w:anchor="_Toc50491726" w:history="1">
        <w:r w:rsidR="00F2467F" w:rsidRPr="006224D9">
          <w:rPr>
            <w:rStyle w:val="Hyperlink"/>
            <w:noProof/>
          </w:rPr>
          <w:t>Categories of respondent</w:t>
        </w:r>
        <w:r w:rsidR="00F2467F">
          <w:rPr>
            <w:noProof/>
            <w:webHidden/>
          </w:rPr>
          <w:tab/>
        </w:r>
        <w:r w:rsidR="00F2467F">
          <w:rPr>
            <w:noProof/>
            <w:webHidden/>
          </w:rPr>
          <w:fldChar w:fldCharType="begin"/>
        </w:r>
        <w:r w:rsidR="00F2467F">
          <w:rPr>
            <w:noProof/>
            <w:webHidden/>
          </w:rPr>
          <w:instrText xml:space="preserve"> PAGEREF _Toc50491726 \h </w:instrText>
        </w:r>
        <w:r w:rsidR="00F2467F">
          <w:rPr>
            <w:noProof/>
            <w:webHidden/>
          </w:rPr>
        </w:r>
        <w:r w:rsidR="00F2467F">
          <w:rPr>
            <w:noProof/>
            <w:webHidden/>
          </w:rPr>
          <w:fldChar w:fldCharType="separate"/>
        </w:r>
        <w:r w:rsidR="00493B07">
          <w:rPr>
            <w:noProof/>
            <w:webHidden/>
          </w:rPr>
          <w:t>5</w:t>
        </w:r>
        <w:r w:rsidR="00F2467F">
          <w:rPr>
            <w:noProof/>
            <w:webHidden/>
          </w:rPr>
          <w:fldChar w:fldCharType="end"/>
        </w:r>
      </w:hyperlink>
    </w:p>
    <w:p w14:paraId="2B2F57C5" w14:textId="613B65CF" w:rsidR="00F2467F" w:rsidRDefault="00062898">
      <w:pPr>
        <w:pStyle w:val="TOC1"/>
        <w:rPr>
          <w:rFonts w:asciiTheme="minorHAnsi" w:eastAsiaTheme="minorEastAsia" w:hAnsiTheme="minorHAnsi" w:cstheme="minorBidi"/>
          <w:noProof/>
          <w:sz w:val="22"/>
          <w:szCs w:val="22"/>
          <w:lang w:val="en-AU" w:eastAsia="en-AU"/>
        </w:rPr>
      </w:pPr>
      <w:hyperlink w:anchor="_Toc50491727" w:history="1">
        <w:r w:rsidR="00F2467F" w:rsidRPr="006224D9">
          <w:rPr>
            <w:rStyle w:val="Hyperlink"/>
            <w:noProof/>
          </w:rPr>
          <w:t>Analysis</w:t>
        </w:r>
        <w:r w:rsidR="00F2467F">
          <w:rPr>
            <w:noProof/>
            <w:webHidden/>
          </w:rPr>
          <w:tab/>
        </w:r>
        <w:r w:rsidR="00F2467F">
          <w:rPr>
            <w:noProof/>
            <w:webHidden/>
          </w:rPr>
          <w:fldChar w:fldCharType="begin"/>
        </w:r>
        <w:r w:rsidR="00F2467F">
          <w:rPr>
            <w:noProof/>
            <w:webHidden/>
          </w:rPr>
          <w:instrText xml:space="preserve"> PAGEREF _Toc50491727 \h </w:instrText>
        </w:r>
        <w:r w:rsidR="00F2467F">
          <w:rPr>
            <w:noProof/>
            <w:webHidden/>
          </w:rPr>
        </w:r>
        <w:r w:rsidR="00F2467F">
          <w:rPr>
            <w:noProof/>
            <w:webHidden/>
          </w:rPr>
          <w:fldChar w:fldCharType="separate"/>
        </w:r>
        <w:r w:rsidR="00493B07">
          <w:rPr>
            <w:noProof/>
            <w:webHidden/>
          </w:rPr>
          <w:t>7</w:t>
        </w:r>
        <w:r w:rsidR="00F2467F">
          <w:rPr>
            <w:noProof/>
            <w:webHidden/>
          </w:rPr>
          <w:fldChar w:fldCharType="end"/>
        </w:r>
      </w:hyperlink>
    </w:p>
    <w:p w14:paraId="5246F78F" w14:textId="0E4AC7C2" w:rsidR="00F2467F" w:rsidRDefault="00062898">
      <w:pPr>
        <w:pStyle w:val="TOC2"/>
        <w:rPr>
          <w:rFonts w:asciiTheme="minorHAnsi" w:eastAsiaTheme="minorEastAsia" w:hAnsiTheme="minorHAnsi" w:cstheme="minorBidi"/>
          <w:noProof/>
          <w:szCs w:val="22"/>
          <w:lang w:val="en-AU" w:eastAsia="en-AU"/>
        </w:rPr>
      </w:pPr>
      <w:hyperlink w:anchor="_Toc50491728" w:history="1">
        <w:r w:rsidR="00F2467F" w:rsidRPr="006224D9">
          <w:rPr>
            <w:rStyle w:val="Hyperlink"/>
            <w:noProof/>
          </w:rPr>
          <w:t>Introduction</w:t>
        </w:r>
        <w:r w:rsidR="00F2467F">
          <w:rPr>
            <w:noProof/>
            <w:webHidden/>
          </w:rPr>
          <w:tab/>
        </w:r>
        <w:r w:rsidR="00F2467F">
          <w:rPr>
            <w:noProof/>
            <w:webHidden/>
          </w:rPr>
          <w:fldChar w:fldCharType="begin"/>
        </w:r>
        <w:r w:rsidR="00F2467F">
          <w:rPr>
            <w:noProof/>
            <w:webHidden/>
          </w:rPr>
          <w:instrText xml:space="preserve"> PAGEREF _Toc50491728 \h </w:instrText>
        </w:r>
        <w:r w:rsidR="00F2467F">
          <w:rPr>
            <w:noProof/>
            <w:webHidden/>
          </w:rPr>
        </w:r>
        <w:r w:rsidR="00F2467F">
          <w:rPr>
            <w:noProof/>
            <w:webHidden/>
          </w:rPr>
          <w:fldChar w:fldCharType="separate"/>
        </w:r>
        <w:r w:rsidR="00493B07">
          <w:rPr>
            <w:noProof/>
            <w:webHidden/>
          </w:rPr>
          <w:t>7</w:t>
        </w:r>
        <w:r w:rsidR="00F2467F">
          <w:rPr>
            <w:noProof/>
            <w:webHidden/>
          </w:rPr>
          <w:fldChar w:fldCharType="end"/>
        </w:r>
      </w:hyperlink>
    </w:p>
    <w:p w14:paraId="0793FE5F" w14:textId="144E4608" w:rsidR="00F2467F" w:rsidRDefault="00062898">
      <w:pPr>
        <w:pStyle w:val="TOC1"/>
        <w:rPr>
          <w:rFonts w:asciiTheme="minorHAnsi" w:eastAsiaTheme="minorEastAsia" w:hAnsiTheme="minorHAnsi" w:cstheme="minorBidi"/>
          <w:noProof/>
          <w:sz w:val="22"/>
          <w:szCs w:val="22"/>
          <w:lang w:val="en-AU" w:eastAsia="en-AU"/>
        </w:rPr>
      </w:pPr>
      <w:hyperlink w:anchor="_Toc50491729" w:history="1">
        <w:r w:rsidR="00F2467F" w:rsidRPr="006224D9">
          <w:rPr>
            <w:rStyle w:val="Hyperlink"/>
            <w:noProof/>
          </w:rPr>
          <w:t>Themes</w:t>
        </w:r>
        <w:r w:rsidR="00F2467F">
          <w:rPr>
            <w:noProof/>
            <w:webHidden/>
          </w:rPr>
          <w:tab/>
        </w:r>
        <w:r w:rsidR="00F2467F">
          <w:rPr>
            <w:noProof/>
            <w:webHidden/>
          </w:rPr>
          <w:fldChar w:fldCharType="begin"/>
        </w:r>
        <w:r w:rsidR="00F2467F">
          <w:rPr>
            <w:noProof/>
            <w:webHidden/>
          </w:rPr>
          <w:instrText xml:space="preserve"> PAGEREF _Toc50491729 \h </w:instrText>
        </w:r>
        <w:r w:rsidR="00F2467F">
          <w:rPr>
            <w:noProof/>
            <w:webHidden/>
          </w:rPr>
        </w:r>
        <w:r w:rsidR="00F2467F">
          <w:rPr>
            <w:noProof/>
            <w:webHidden/>
          </w:rPr>
          <w:fldChar w:fldCharType="separate"/>
        </w:r>
        <w:r w:rsidR="00493B07">
          <w:rPr>
            <w:noProof/>
            <w:webHidden/>
          </w:rPr>
          <w:t>8</w:t>
        </w:r>
        <w:r w:rsidR="00F2467F">
          <w:rPr>
            <w:noProof/>
            <w:webHidden/>
          </w:rPr>
          <w:fldChar w:fldCharType="end"/>
        </w:r>
      </w:hyperlink>
    </w:p>
    <w:p w14:paraId="539238AF" w14:textId="732FF3A0" w:rsidR="00F2467F" w:rsidRDefault="00062898">
      <w:pPr>
        <w:pStyle w:val="TOC2"/>
        <w:rPr>
          <w:rFonts w:asciiTheme="minorHAnsi" w:eastAsiaTheme="minorEastAsia" w:hAnsiTheme="minorHAnsi" w:cstheme="minorBidi"/>
          <w:noProof/>
          <w:szCs w:val="22"/>
          <w:lang w:val="en-AU" w:eastAsia="en-AU"/>
        </w:rPr>
      </w:pPr>
      <w:hyperlink w:anchor="_Toc50491730" w:history="1">
        <w:r w:rsidR="00F2467F" w:rsidRPr="006224D9">
          <w:rPr>
            <w:rStyle w:val="Hyperlink"/>
            <w:noProof/>
          </w:rPr>
          <w:t>Support for the Framework</w:t>
        </w:r>
        <w:r w:rsidR="00F2467F">
          <w:rPr>
            <w:noProof/>
            <w:webHidden/>
          </w:rPr>
          <w:tab/>
        </w:r>
        <w:r w:rsidR="00F2467F">
          <w:rPr>
            <w:noProof/>
            <w:webHidden/>
          </w:rPr>
          <w:fldChar w:fldCharType="begin"/>
        </w:r>
        <w:r w:rsidR="00F2467F">
          <w:rPr>
            <w:noProof/>
            <w:webHidden/>
          </w:rPr>
          <w:instrText xml:space="preserve"> PAGEREF _Toc50491730 \h </w:instrText>
        </w:r>
        <w:r w:rsidR="00F2467F">
          <w:rPr>
            <w:noProof/>
            <w:webHidden/>
          </w:rPr>
        </w:r>
        <w:r w:rsidR="00F2467F">
          <w:rPr>
            <w:noProof/>
            <w:webHidden/>
          </w:rPr>
          <w:fldChar w:fldCharType="separate"/>
        </w:r>
        <w:r w:rsidR="00493B07">
          <w:rPr>
            <w:noProof/>
            <w:webHidden/>
          </w:rPr>
          <w:t>9</w:t>
        </w:r>
        <w:r w:rsidR="00F2467F">
          <w:rPr>
            <w:noProof/>
            <w:webHidden/>
          </w:rPr>
          <w:fldChar w:fldCharType="end"/>
        </w:r>
      </w:hyperlink>
    </w:p>
    <w:p w14:paraId="2B9577EE" w14:textId="182FAB29" w:rsidR="00F2467F" w:rsidRDefault="00062898">
      <w:pPr>
        <w:pStyle w:val="TOC2"/>
        <w:rPr>
          <w:rFonts w:asciiTheme="minorHAnsi" w:eastAsiaTheme="minorEastAsia" w:hAnsiTheme="minorHAnsi" w:cstheme="minorBidi"/>
          <w:noProof/>
          <w:szCs w:val="22"/>
          <w:lang w:val="en-AU" w:eastAsia="en-AU"/>
        </w:rPr>
      </w:pPr>
      <w:hyperlink w:anchor="_Toc50491731" w:history="1">
        <w:r w:rsidR="00F2467F" w:rsidRPr="006224D9">
          <w:rPr>
            <w:rStyle w:val="Hyperlink"/>
            <w:noProof/>
          </w:rPr>
          <w:t>Balancing and weighting of principles</w:t>
        </w:r>
        <w:r w:rsidR="00F2467F">
          <w:rPr>
            <w:noProof/>
            <w:webHidden/>
          </w:rPr>
          <w:tab/>
        </w:r>
        <w:r w:rsidR="00F2467F">
          <w:rPr>
            <w:noProof/>
            <w:webHidden/>
          </w:rPr>
          <w:fldChar w:fldCharType="begin"/>
        </w:r>
        <w:r w:rsidR="00F2467F">
          <w:rPr>
            <w:noProof/>
            <w:webHidden/>
          </w:rPr>
          <w:instrText xml:space="preserve"> PAGEREF _Toc50491731 \h </w:instrText>
        </w:r>
        <w:r w:rsidR="00F2467F">
          <w:rPr>
            <w:noProof/>
            <w:webHidden/>
          </w:rPr>
        </w:r>
        <w:r w:rsidR="00F2467F">
          <w:rPr>
            <w:noProof/>
            <w:webHidden/>
          </w:rPr>
          <w:fldChar w:fldCharType="separate"/>
        </w:r>
        <w:r w:rsidR="00493B07">
          <w:rPr>
            <w:noProof/>
            <w:webHidden/>
          </w:rPr>
          <w:t>9</w:t>
        </w:r>
        <w:r w:rsidR="00F2467F">
          <w:rPr>
            <w:noProof/>
            <w:webHidden/>
          </w:rPr>
          <w:fldChar w:fldCharType="end"/>
        </w:r>
      </w:hyperlink>
    </w:p>
    <w:p w14:paraId="20269D96" w14:textId="01C0DCE7" w:rsidR="00F2467F" w:rsidRDefault="00062898">
      <w:pPr>
        <w:pStyle w:val="TOC2"/>
        <w:rPr>
          <w:rFonts w:asciiTheme="minorHAnsi" w:eastAsiaTheme="minorEastAsia" w:hAnsiTheme="minorHAnsi" w:cstheme="minorBidi"/>
          <w:noProof/>
          <w:szCs w:val="22"/>
          <w:lang w:val="en-AU" w:eastAsia="en-AU"/>
        </w:rPr>
      </w:pPr>
      <w:hyperlink w:anchor="_Toc50491732" w:history="1">
        <w:r w:rsidR="00F2467F" w:rsidRPr="006224D9">
          <w:rPr>
            <w:rStyle w:val="Hyperlink"/>
            <w:noProof/>
          </w:rPr>
          <w:t>Context – existing landscape and dominant values</w:t>
        </w:r>
        <w:r w:rsidR="00F2467F">
          <w:rPr>
            <w:noProof/>
            <w:webHidden/>
          </w:rPr>
          <w:tab/>
        </w:r>
        <w:r w:rsidR="00F2467F">
          <w:rPr>
            <w:noProof/>
            <w:webHidden/>
          </w:rPr>
          <w:fldChar w:fldCharType="begin"/>
        </w:r>
        <w:r w:rsidR="00F2467F">
          <w:rPr>
            <w:noProof/>
            <w:webHidden/>
          </w:rPr>
          <w:instrText xml:space="preserve"> PAGEREF _Toc50491732 \h </w:instrText>
        </w:r>
        <w:r w:rsidR="00F2467F">
          <w:rPr>
            <w:noProof/>
            <w:webHidden/>
          </w:rPr>
        </w:r>
        <w:r w:rsidR="00F2467F">
          <w:rPr>
            <w:noProof/>
            <w:webHidden/>
          </w:rPr>
          <w:fldChar w:fldCharType="separate"/>
        </w:r>
        <w:r w:rsidR="00493B07">
          <w:rPr>
            <w:noProof/>
            <w:webHidden/>
          </w:rPr>
          <w:t>10</w:t>
        </w:r>
        <w:r w:rsidR="00F2467F">
          <w:rPr>
            <w:noProof/>
            <w:webHidden/>
          </w:rPr>
          <w:fldChar w:fldCharType="end"/>
        </w:r>
      </w:hyperlink>
    </w:p>
    <w:p w14:paraId="047838D8" w14:textId="66EEEB97" w:rsidR="00F2467F" w:rsidRDefault="00062898">
      <w:pPr>
        <w:pStyle w:val="TOC2"/>
        <w:rPr>
          <w:rFonts w:asciiTheme="minorHAnsi" w:eastAsiaTheme="minorEastAsia" w:hAnsiTheme="minorHAnsi" w:cstheme="minorBidi"/>
          <w:noProof/>
          <w:szCs w:val="22"/>
          <w:lang w:val="en-AU" w:eastAsia="en-AU"/>
        </w:rPr>
      </w:pPr>
      <w:hyperlink w:anchor="_Toc50491733" w:history="1">
        <w:r w:rsidR="00F2467F" w:rsidRPr="006224D9">
          <w:rPr>
            <w:rStyle w:val="Hyperlink"/>
            <w:noProof/>
          </w:rPr>
          <w:t>Visibility and acknowledgement of groups</w:t>
        </w:r>
        <w:r w:rsidR="00F2467F">
          <w:rPr>
            <w:noProof/>
            <w:webHidden/>
          </w:rPr>
          <w:tab/>
        </w:r>
        <w:r w:rsidR="00F2467F">
          <w:rPr>
            <w:noProof/>
            <w:webHidden/>
          </w:rPr>
          <w:fldChar w:fldCharType="begin"/>
        </w:r>
        <w:r w:rsidR="00F2467F">
          <w:rPr>
            <w:noProof/>
            <w:webHidden/>
          </w:rPr>
          <w:instrText xml:space="preserve"> PAGEREF _Toc50491733 \h </w:instrText>
        </w:r>
        <w:r w:rsidR="00F2467F">
          <w:rPr>
            <w:noProof/>
            <w:webHidden/>
          </w:rPr>
        </w:r>
        <w:r w:rsidR="00F2467F">
          <w:rPr>
            <w:noProof/>
            <w:webHidden/>
          </w:rPr>
          <w:fldChar w:fldCharType="separate"/>
        </w:r>
        <w:r w:rsidR="00493B07">
          <w:rPr>
            <w:noProof/>
            <w:webHidden/>
          </w:rPr>
          <w:t>11</w:t>
        </w:r>
        <w:r w:rsidR="00F2467F">
          <w:rPr>
            <w:noProof/>
            <w:webHidden/>
          </w:rPr>
          <w:fldChar w:fldCharType="end"/>
        </w:r>
      </w:hyperlink>
    </w:p>
    <w:p w14:paraId="13297689" w14:textId="478F5891" w:rsidR="00F2467F" w:rsidRDefault="00062898">
      <w:pPr>
        <w:pStyle w:val="TOC2"/>
        <w:rPr>
          <w:rFonts w:asciiTheme="minorHAnsi" w:eastAsiaTheme="minorEastAsia" w:hAnsiTheme="minorHAnsi" w:cstheme="minorBidi"/>
          <w:noProof/>
          <w:szCs w:val="22"/>
          <w:lang w:val="en-AU" w:eastAsia="en-AU"/>
        </w:rPr>
      </w:pPr>
      <w:hyperlink w:anchor="_Toc50491734" w:history="1">
        <w:r w:rsidR="00F2467F" w:rsidRPr="006224D9">
          <w:rPr>
            <w:rStyle w:val="Hyperlink"/>
            <w:noProof/>
          </w:rPr>
          <w:t>Human rights</w:t>
        </w:r>
        <w:r w:rsidR="00F2467F">
          <w:rPr>
            <w:noProof/>
            <w:webHidden/>
          </w:rPr>
          <w:tab/>
        </w:r>
        <w:r w:rsidR="00F2467F">
          <w:rPr>
            <w:noProof/>
            <w:webHidden/>
          </w:rPr>
          <w:fldChar w:fldCharType="begin"/>
        </w:r>
        <w:r w:rsidR="00F2467F">
          <w:rPr>
            <w:noProof/>
            <w:webHidden/>
          </w:rPr>
          <w:instrText xml:space="preserve"> PAGEREF _Toc50491734 \h </w:instrText>
        </w:r>
        <w:r w:rsidR="00F2467F">
          <w:rPr>
            <w:noProof/>
            <w:webHidden/>
          </w:rPr>
        </w:r>
        <w:r w:rsidR="00F2467F">
          <w:rPr>
            <w:noProof/>
            <w:webHidden/>
          </w:rPr>
          <w:fldChar w:fldCharType="separate"/>
        </w:r>
        <w:r w:rsidR="00493B07">
          <w:rPr>
            <w:noProof/>
            <w:webHidden/>
          </w:rPr>
          <w:t>11</w:t>
        </w:r>
        <w:r w:rsidR="00F2467F">
          <w:rPr>
            <w:noProof/>
            <w:webHidden/>
          </w:rPr>
          <w:fldChar w:fldCharType="end"/>
        </w:r>
      </w:hyperlink>
    </w:p>
    <w:p w14:paraId="38B524DC" w14:textId="42C245EC" w:rsidR="00F2467F" w:rsidRDefault="00062898">
      <w:pPr>
        <w:pStyle w:val="TOC2"/>
        <w:rPr>
          <w:rFonts w:asciiTheme="minorHAnsi" w:eastAsiaTheme="minorEastAsia" w:hAnsiTheme="minorHAnsi" w:cstheme="minorBidi"/>
          <w:noProof/>
          <w:szCs w:val="22"/>
          <w:lang w:val="en-AU" w:eastAsia="en-AU"/>
        </w:rPr>
      </w:pPr>
      <w:hyperlink w:anchor="_Toc50491735" w:history="1">
        <w:r w:rsidR="00F2467F" w:rsidRPr="006224D9">
          <w:rPr>
            <w:rStyle w:val="Hyperlink"/>
            <w:noProof/>
          </w:rPr>
          <w:t>Scope, structure and purpose</w:t>
        </w:r>
        <w:r w:rsidR="00F2467F">
          <w:rPr>
            <w:noProof/>
            <w:webHidden/>
          </w:rPr>
          <w:tab/>
        </w:r>
        <w:r w:rsidR="00F2467F">
          <w:rPr>
            <w:noProof/>
            <w:webHidden/>
          </w:rPr>
          <w:fldChar w:fldCharType="begin"/>
        </w:r>
        <w:r w:rsidR="00F2467F">
          <w:rPr>
            <w:noProof/>
            <w:webHidden/>
          </w:rPr>
          <w:instrText xml:space="preserve"> PAGEREF _Toc50491735 \h </w:instrText>
        </w:r>
        <w:r w:rsidR="00F2467F">
          <w:rPr>
            <w:noProof/>
            <w:webHidden/>
          </w:rPr>
        </w:r>
        <w:r w:rsidR="00F2467F">
          <w:rPr>
            <w:noProof/>
            <w:webHidden/>
          </w:rPr>
          <w:fldChar w:fldCharType="separate"/>
        </w:r>
        <w:r w:rsidR="00493B07">
          <w:rPr>
            <w:noProof/>
            <w:webHidden/>
          </w:rPr>
          <w:t>12</w:t>
        </w:r>
        <w:r w:rsidR="00F2467F">
          <w:rPr>
            <w:noProof/>
            <w:webHidden/>
          </w:rPr>
          <w:fldChar w:fldCharType="end"/>
        </w:r>
      </w:hyperlink>
    </w:p>
    <w:p w14:paraId="1853E384" w14:textId="738CA0A0" w:rsidR="00F2467F" w:rsidRDefault="00062898">
      <w:pPr>
        <w:pStyle w:val="TOC2"/>
        <w:rPr>
          <w:rFonts w:asciiTheme="minorHAnsi" w:eastAsiaTheme="minorEastAsia" w:hAnsiTheme="minorHAnsi" w:cstheme="minorBidi"/>
          <w:noProof/>
          <w:szCs w:val="22"/>
          <w:lang w:val="en-AU" w:eastAsia="en-AU"/>
        </w:rPr>
      </w:pPr>
      <w:hyperlink w:anchor="_Toc50491736" w:history="1">
        <w:r w:rsidR="00F2467F" w:rsidRPr="006224D9">
          <w:rPr>
            <w:rStyle w:val="Hyperlink"/>
            <w:noProof/>
          </w:rPr>
          <w:t>Decision-making group</w:t>
        </w:r>
        <w:r w:rsidR="00F2467F">
          <w:rPr>
            <w:noProof/>
            <w:webHidden/>
          </w:rPr>
          <w:tab/>
        </w:r>
        <w:r w:rsidR="00F2467F">
          <w:rPr>
            <w:noProof/>
            <w:webHidden/>
          </w:rPr>
          <w:fldChar w:fldCharType="begin"/>
        </w:r>
        <w:r w:rsidR="00F2467F">
          <w:rPr>
            <w:noProof/>
            <w:webHidden/>
          </w:rPr>
          <w:instrText xml:space="preserve"> PAGEREF _Toc50491736 \h </w:instrText>
        </w:r>
        <w:r w:rsidR="00F2467F">
          <w:rPr>
            <w:noProof/>
            <w:webHidden/>
          </w:rPr>
        </w:r>
        <w:r w:rsidR="00F2467F">
          <w:rPr>
            <w:noProof/>
            <w:webHidden/>
          </w:rPr>
          <w:fldChar w:fldCharType="separate"/>
        </w:r>
        <w:r w:rsidR="00493B07">
          <w:rPr>
            <w:noProof/>
            <w:webHidden/>
          </w:rPr>
          <w:t>13</w:t>
        </w:r>
        <w:r w:rsidR="00F2467F">
          <w:rPr>
            <w:noProof/>
            <w:webHidden/>
          </w:rPr>
          <w:fldChar w:fldCharType="end"/>
        </w:r>
      </w:hyperlink>
    </w:p>
    <w:p w14:paraId="654BFF64" w14:textId="61530D12" w:rsidR="00F2467F" w:rsidRDefault="00062898">
      <w:pPr>
        <w:pStyle w:val="TOC2"/>
        <w:rPr>
          <w:rFonts w:asciiTheme="minorHAnsi" w:eastAsiaTheme="minorEastAsia" w:hAnsiTheme="minorHAnsi" w:cstheme="minorBidi"/>
          <w:noProof/>
          <w:szCs w:val="22"/>
          <w:lang w:val="en-AU" w:eastAsia="en-AU"/>
        </w:rPr>
      </w:pPr>
      <w:hyperlink w:anchor="_Toc50491737" w:history="1">
        <w:r w:rsidR="00F2467F" w:rsidRPr="006224D9">
          <w:rPr>
            <w:rStyle w:val="Hyperlink"/>
            <w:noProof/>
          </w:rPr>
          <w:t>Ethical principles</w:t>
        </w:r>
        <w:r w:rsidR="00F2467F">
          <w:rPr>
            <w:noProof/>
            <w:webHidden/>
          </w:rPr>
          <w:tab/>
        </w:r>
        <w:r w:rsidR="00F2467F">
          <w:rPr>
            <w:noProof/>
            <w:webHidden/>
          </w:rPr>
          <w:fldChar w:fldCharType="begin"/>
        </w:r>
        <w:r w:rsidR="00F2467F">
          <w:rPr>
            <w:noProof/>
            <w:webHidden/>
          </w:rPr>
          <w:instrText xml:space="preserve"> PAGEREF _Toc50491737 \h </w:instrText>
        </w:r>
        <w:r w:rsidR="00F2467F">
          <w:rPr>
            <w:noProof/>
            <w:webHidden/>
          </w:rPr>
        </w:r>
        <w:r w:rsidR="00F2467F">
          <w:rPr>
            <w:noProof/>
            <w:webHidden/>
          </w:rPr>
          <w:fldChar w:fldCharType="separate"/>
        </w:r>
        <w:r w:rsidR="00493B07">
          <w:rPr>
            <w:noProof/>
            <w:webHidden/>
          </w:rPr>
          <w:t>14</w:t>
        </w:r>
        <w:r w:rsidR="00F2467F">
          <w:rPr>
            <w:noProof/>
            <w:webHidden/>
          </w:rPr>
          <w:fldChar w:fldCharType="end"/>
        </w:r>
      </w:hyperlink>
    </w:p>
    <w:p w14:paraId="2F918143" w14:textId="2D939DB0" w:rsidR="00F2467F" w:rsidRDefault="00062898">
      <w:pPr>
        <w:pStyle w:val="TOC2"/>
        <w:rPr>
          <w:rFonts w:asciiTheme="minorHAnsi" w:eastAsiaTheme="minorEastAsia" w:hAnsiTheme="minorHAnsi" w:cstheme="minorBidi"/>
          <w:noProof/>
          <w:szCs w:val="22"/>
          <w:lang w:val="en-AU" w:eastAsia="en-AU"/>
        </w:rPr>
      </w:pPr>
      <w:hyperlink w:anchor="_Toc50491738" w:history="1">
        <w:r w:rsidR="00F2467F" w:rsidRPr="006224D9">
          <w:rPr>
            <w:rStyle w:val="Hyperlink"/>
            <w:noProof/>
          </w:rPr>
          <w:t>Equity</w:t>
        </w:r>
        <w:r w:rsidR="00F2467F">
          <w:rPr>
            <w:noProof/>
            <w:webHidden/>
          </w:rPr>
          <w:tab/>
        </w:r>
        <w:r w:rsidR="00F2467F">
          <w:rPr>
            <w:noProof/>
            <w:webHidden/>
          </w:rPr>
          <w:fldChar w:fldCharType="begin"/>
        </w:r>
        <w:r w:rsidR="00F2467F">
          <w:rPr>
            <w:noProof/>
            <w:webHidden/>
          </w:rPr>
          <w:instrText xml:space="preserve"> PAGEREF _Toc50491738 \h </w:instrText>
        </w:r>
        <w:r w:rsidR="00F2467F">
          <w:rPr>
            <w:noProof/>
            <w:webHidden/>
          </w:rPr>
        </w:r>
        <w:r w:rsidR="00F2467F">
          <w:rPr>
            <w:noProof/>
            <w:webHidden/>
          </w:rPr>
          <w:fldChar w:fldCharType="separate"/>
        </w:r>
        <w:r w:rsidR="00493B07">
          <w:rPr>
            <w:noProof/>
            <w:webHidden/>
          </w:rPr>
          <w:t>14</w:t>
        </w:r>
        <w:r w:rsidR="00F2467F">
          <w:rPr>
            <w:noProof/>
            <w:webHidden/>
          </w:rPr>
          <w:fldChar w:fldCharType="end"/>
        </w:r>
      </w:hyperlink>
    </w:p>
    <w:p w14:paraId="7C18AA53" w14:textId="2CECD4CD" w:rsidR="00F2467F" w:rsidRDefault="00062898">
      <w:pPr>
        <w:pStyle w:val="TOC2"/>
        <w:rPr>
          <w:rFonts w:asciiTheme="minorHAnsi" w:eastAsiaTheme="minorEastAsia" w:hAnsiTheme="minorHAnsi" w:cstheme="minorBidi"/>
          <w:noProof/>
          <w:szCs w:val="22"/>
          <w:lang w:val="en-AU" w:eastAsia="en-AU"/>
        </w:rPr>
      </w:pPr>
      <w:hyperlink w:anchor="_Toc50491739" w:history="1">
        <w:r w:rsidR="00F2467F" w:rsidRPr="006224D9">
          <w:rPr>
            <w:rStyle w:val="Hyperlink"/>
            <w:noProof/>
          </w:rPr>
          <w:t>Treaty principles</w:t>
        </w:r>
        <w:r w:rsidR="00F2467F">
          <w:rPr>
            <w:noProof/>
            <w:webHidden/>
          </w:rPr>
          <w:tab/>
        </w:r>
        <w:r w:rsidR="00F2467F">
          <w:rPr>
            <w:noProof/>
            <w:webHidden/>
          </w:rPr>
          <w:fldChar w:fldCharType="begin"/>
        </w:r>
        <w:r w:rsidR="00F2467F">
          <w:rPr>
            <w:noProof/>
            <w:webHidden/>
          </w:rPr>
          <w:instrText xml:space="preserve"> PAGEREF _Toc50491739 \h </w:instrText>
        </w:r>
        <w:r w:rsidR="00F2467F">
          <w:rPr>
            <w:noProof/>
            <w:webHidden/>
          </w:rPr>
        </w:r>
        <w:r w:rsidR="00F2467F">
          <w:rPr>
            <w:noProof/>
            <w:webHidden/>
          </w:rPr>
          <w:fldChar w:fldCharType="separate"/>
        </w:r>
        <w:r w:rsidR="00493B07">
          <w:rPr>
            <w:noProof/>
            <w:webHidden/>
          </w:rPr>
          <w:t>15</w:t>
        </w:r>
        <w:r w:rsidR="00F2467F">
          <w:rPr>
            <w:noProof/>
            <w:webHidden/>
          </w:rPr>
          <w:fldChar w:fldCharType="end"/>
        </w:r>
      </w:hyperlink>
    </w:p>
    <w:p w14:paraId="594B1AD3" w14:textId="39632B84" w:rsidR="00F2467F" w:rsidRDefault="00062898">
      <w:pPr>
        <w:pStyle w:val="TOC2"/>
        <w:rPr>
          <w:rFonts w:asciiTheme="minorHAnsi" w:eastAsiaTheme="minorEastAsia" w:hAnsiTheme="minorHAnsi" w:cstheme="minorBidi"/>
          <w:noProof/>
          <w:szCs w:val="22"/>
          <w:lang w:val="en-AU" w:eastAsia="en-AU"/>
        </w:rPr>
      </w:pPr>
      <w:hyperlink w:anchor="_Toc50491740" w:history="1">
        <w:r w:rsidR="00F2467F" w:rsidRPr="006224D9">
          <w:rPr>
            <w:rStyle w:val="Hyperlink"/>
            <w:noProof/>
          </w:rPr>
          <w:t>Intensive care units</w:t>
        </w:r>
        <w:r w:rsidR="00F2467F">
          <w:rPr>
            <w:noProof/>
            <w:webHidden/>
          </w:rPr>
          <w:tab/>
        </w:r>
        <w:r w:rsidR="00F2467F">
          <w:rPr>
            <w:noProof/>
            <w:webHidden/>
          </w:rPr>
          <w:fldChar w:fldCharType="begin"/>
        </w:r>
        <w:r w:rsidR="00F2467F">
          <w:rPr>
            <w:noProof/>
            <w:webHidden/>
          </w:rPr>
          <w:instrText xml:space="preserve"> PAGEREF _Toc50491740 \h </w:instrText>
        </w:r>
        <w:r w:rsidR="00F2467F">
          <w:rPr>
            <w:noProof/>
            <w:webHidden/>
          </w:rPr>
        </w:r>
        <w:r w:rsidR="00F2467F">
          <w:rPr>
            <w:noProof/>
            <w:webHidden/>
          </w:rPr>
          <w:fldChar w:fldCharType="separate"/>
        </w:r>
        <w:r w:rsidR="00493B07">
          <w:rPr>
            <w:noProof/>
            <w:webHidden/>
          </w:rPr>
          <w:t>16</w:t>
        </w:r>
        <w:r w:rsidR="00F2467F">
          <w:rPr>
            <w:noProof/>
            <w:webHidden/>
          </w:rPr>
          <w:fldChar w:fldCharType="end"/>
        </w:r>
      </w:hyperlink>
    </w:p>
    <w:p w14:paraId="3151076A" w14:textId="25F81AE8" w:rsidR="00F2467F" w:rsidRDefault="00062898">
      <w:pPr>
        <w:pStyle w:val="TOC2"/>
        <w:rPr>
          <w:rFonts w:asciiTheme="minorHAnsi" w:eastAsiaTheme="minorEastAsia" w:hAnsiTheme="minorHAnsi" w:cstheme="minorBidi"/>
          <w:noProof/>
          <w:szCs w:val="22"/>
          <w:lang w:val="en-AU" w:eastAsia="en-AU"/>
        </w:rPr>
      </w:pPr>
      <w:hyperlink w:anchor="_Toc50491741" w:history="1">
        <w:r w:rsidR="00F2467F" w:rsidRPr="006224D9">
          <w:rPr>
            <w:rStyle w:val="Hyperlink"/>
            <w:noProof/>
          </w:rPr>
          <w:t>Personal protective equipment</w:t>
        </w:r>
        <w:r w:rsidR="00F2467F">
          <w:rPr>
            <w:noProof/>
            <w:webHidden/>
          </w:rPr>
          <w:tab/>
        </w:r>
        <w:r w:rsidR="00F2467F">
          <w:rPr>
            <w:noProof/>
            <w:webHidden/>
          </w:rPr>
          <w:fldChar w:fldCharType="begin"/>
        </w:r>
        <w:r w:rsidR="00F2467F">
          <w:rPr>
            <w:noProof/>
            <w:webHidden/>
          </w:rPr>
          <w:instrText xml:space="preserve"> PAGEREF _Toc50491741 \h </w:instrText>
        </w:r>
        <w:r w:rsidR="00F2467F">
          <w:rPr>
            <w:noProof/>
            <w:webHidden/>
          </w:rPr>
        </w:r>
        <w:r w:rsidR="00F2467F">
          <w:rPr>
            <w:noProof/>
            <w:webHidden/>
          </w:rPr>
          <w:fldChar w:fldCharType="separate"/>
        </w:r>
        <w:r w:rsidR="00493B07">
          <w:rPr>
            <w:noProof/>
            <w:webHidden/>
          </w:rPr>
          <w:t>17</w:t>
        </w:r>
        <w:r w:rsidR="00F2467F">
          <w:rPr>
            <w:noProof/>
            <w:webHidden/>
          </w:rPr>
          <w:fldChar w:fldCharType="end"/>
        </w:r>
      </w:hyperlink>
    </w:p>
    <w:p w14:paraId="0C964387" w14:textId="6AD3A955" w:rsidR="00F2467F" w:rsidRDefault="00062898">
      <w:pPr>
        <w:pStyle w:val="TOC2"/>
        <w:rPr>
          <w:rFonts w:asciiTheme="minorHAnsi" w:eastAsiaTheme="minorEastAsia" w:hAnsiTheme="minorHAnsi" w:cstheme="minorBidi"/>
          <w:noProof/>
          <w:szCs w:val="22"/>
          <w:lang w:val="en-AU" w:eastAsia="en-AU"/>
        </w:rPr>
      </w:pPr>
      <w:hyperlink w:anchor="_Toc50491742" w:history="1">
        <w:r w:rsidR="00F2467F" w:rsidRPr="006224D9">
          <w:rPr>
            <w:rStyle w:val="Hyperlink"/>
            <w:noProof/>
          </w:rPr>
          <w:t>Vaccines</w:t>
        </w:r>
        <w:r w:rsidR="00F2467F">
          <w:rPr>
            <w:noProof/>
            <w:webHidden/>
          </w:rPr>
          <w:tab/>
        </w:r>
        <w:r w:rsidR="00F2467F">
          <w:rPr>
            <w:noProof/>
            <w:webHidden/>
          </w:rPr>
          <w:fldChar w:fldCharType="begin"/>
        </w:r>
        <w:r w:rsidR="00F2467F">
          <w:rPr>
            <w:noProof/>
            <w:webHidden/>
          </w:rPr>
          <w:instrText xml:space="preserve"> PAGEREF _Toc50491742 \h </w:instrText>
        </w:r>
        <w:r w:rsidR="00F2467F">
          <w:rPr>
            <w:noProof/>
            <w:webHidden/>
          </w:rPr>
        </w:r>
        <w:r w:rsidR="00F2467F">
          <w:rPr>
            <w:noProof/>
            <w:webHidden/>
          </w:rPr>
          <w:fldChar w:fldCharType="separate"/>
        </w:r>
        <w:r w:rsidR="00493B07">
          <w:rPr>
            <w:noProof/>
            <w:webHidden/>
          </w:rPr>
          <w:t>17</w:t>
        </w:r>
        <w:r w:rsidR="00F2467F">
          <w:rPr>
            <w:noProof/>
            <w:webHidden/>
          </w:rPr>
          <w:fldChar w:fldCharType="end"/>
        </w:r>
      </w:hyperlink>
    </w:p>
    <w:p w14:paraId="7BA95999" w14:textId="7DE86E57" w:rsidR="00F2467F" w:rsidRDefault="00062898">
      <w:pPr>
        <w:pStyle w:val="TOC2"/>
        <w:rPr>
          <w:rFonts w:asciiTheme="minorHAnsi" w:eastAsiaTheme="minorEastAsia" w:hAnsiTheme="minorHAnsi" w:cstheme="minorBidi"/>
          <w:noProof/>
          <w:szCs w:val="22"/>
          <w:lang w:val="en-AU" w:eastAsia="en-AU"/>
        </w:rPr>
      </w:pPr>
      <w:hyperlink w:anchor="_Toc50491743" w:history="1">
        <w:r w:rsidR="00F2467F" w:rsidRPr="006224D9">
          <w:rPr>
            <w:rStyle w:val="Hyperlink"/>
            <w:noProof/>
          </w:rPr>
          <w:t>Use of quality-adjusted life years as a tool for resource allocation</w:t>
        </w:r>
        <w:r w:rsidR="00F2467F">
          <w:rPr>
            <w:noProof/>
            <w:webHidden/>
          </w:rPr>
          <w:tab/>
        </w:r>
        <w:r w:rsidR="00F2467F">
          <w:rPr>
            <w:noProof/>
            <w:webHidden/>
          </w:rPr>
          <w:fldChar w:fldCharType="begin"/>
        </w:r>
        <w:r w:rsidR="00F2467F">
          <w:rPr>
            <w:noProof/>
            <w:webHidden/>
          </w:rPr>
          <w:instrText xml:space="preserve"> PAGEREF _Toc50491743 \h </w:instrText>
        </w:r>
        <w:r w:rsidR="00F2467F">
          <w:rPr>
            <w:noProof/>
            <w:webHidden/>
          </w:rPr>
        </w:r>
        <w:r w:rsidR="00F2467F">
          <w:rPr>
            <w:noProof/>
            <w:webHidden/>
          </w:rPr>
          <w:fldChar w:fldCharType="separate"/>
        </w:r>
        <w:r w:rsidR="00493B07">
          <w:rPr>
            <w:noProof/>
            <w:webHidden/>
          </w:rPr>
          <w:t>18</w:t>
        </w:r>
        <w:r w:rsidR="00F2467F">
          <w:rPr>
            <w:noProof/>
            <w:webHidden/>
          </w:rPr>
          <w:fldChar w:fldCharType="end"/>
        </w:r>
      </w:hyperlink>
    </w:p>
    <w:p w14:paraId="2ADF2E55" w14:textId="59018AA1" w:rsidR="00F2467F" w:rsidRDefault="00062898">
      <w:pPr>
        <w:pStyle w:val="TOC2"/>
        <w:rPr>
          <w:rFonts w:asciiTheme="minorHAnsi" w:eastAsiaTheme="minorEastAsia" w:hAnsiTheme="minorHAnsi" w:cstheme="minorBidi"/>
          <w:noProof/>
          <w:szCs w:val="22"/>
          <w:lang w:val="en-AU" w:eastAsia="en-AU"/>
        </w:rPr>
      </w:pPr>
      <w:hyperlink w:anchor="_Toc50491744" w:history="1">
        <w:r w:rsidR="00F2467F" w:rsidRPr="006224D9">
          <w:rPr>
            <w:rStyle w:val="Hyperlink"/>
            <w:noProof/>
          </w:rPr>
          <w:t>General allocation guidance</w:t>
        </w:r>
        <w:r w:rsidR="00F2467F">
          <w:rPr>
            <w:noProof/>
            <w:webHidden/>
          </w:rPr>
          <w:tab/>
        </w:r>
        <w:r w:rsidR="00F2467F">
          <w:rPr>
            <w:noProof/>
            <w:webHidden/>
          </w:rPr>
          <w:fldChar w:fldCharType="begin"/>
        </w:r>
        <w:r w:rsidR="00F2467F">
          <w:rPr>
            <w:noProof/>
            <w:webHidden/>
          </w:rPr>
          <w:instrText xml:space="preserve"> PAGEREF _Toc50491744 \h </w:instrText>
        </w:r>
        <w:r w:rsidR="00F2467F">
          <w:rPr>
            <w:noProof/>
            <w:webHidden/>
          </w:rPr>
        </w:r>
        <w:r w:rsidR="00F2467F">
          <w:rPr>
            <w:noProof/>
            <w:webHidden/>
          </w:rPr>
          <w:fldChar w:fldCharType="separate"/>
        </w:r>
        <w:r w:rsidR="00493B07">
          <w:rPr>
            <w:noProof/>
            <w:webHidden/>
          </w:rPr>
          <w:t>18</w:t>
        </w:r>
        <w:r w:rsidR="00F2467F">
          <w:rPr>
            <w:noProof/>
            <w:webHidden/>
          </w:rPr>
          <w:fldChar w:fldCharType="end"/>
        </w:r>
      </w:hyperlink>
    </w:p>
    <w:p w14:paraId="4F012E26" w14:textId="73000E8D" w:rsidR="00F2467F" w:rsidRDefault="00062898">
      <w:pPr>
        <w:pStyle w:val="TOC2"/>
        <w:rPr>
          <w:rFonts w:asciiTheme="minorHAnsi" w:eastAsiaTheme="minorEastAsia" w:hAnsiTheme="minorHAnsi" w:cstheme="minorBidi"/>
          <w:noProof/>
          <w:szCs w:val="22"/>
          <w:lang w:val="en-AU" w:eastAsia="en-AU"/>
        </w:rPr>
      </w:pPr>
      <w:hyperlink w:anchor="_Toc50491745" w:history="1">
        <w:r w:rsidR="00F2467F" w:rsidRPr="006224D9">
          <w:rPr>
            <w:rStyle w:val="Hyperlink"/>
            <w:noProof/>
          </w:rPr>
          <w:t>Wider issues</w:t>
        </w:r>
        <w:r w:rsidR="00F2467F">
          <w:rPr>
            <w:noProof/>
            <w:webHidden/>
          </w:rPr>
          <w:tab/>
        </w:r>
        <w:r w:rsidR="00F2467F">
          <w:rPr>
            <w:noProof/>
            <w:webHidden/>
          </w:rPr>
          <w:fldChar w:fldCharType="begin"/>
        </w:r>
        <w:r w:rsidR="00F2467F">
          <w:rPr>
            <w:noProof/>
            <w:webHidden/>
          </w:rPr>
          <w:instrText xml:space="preserve"> PAGEREF _Toc50491745 \h </w:instrText>
        </w:r>
        <w:r w:rsidR="00F2467F">
          <w:rPr>
            <w:noProof/>
            <w:webHidden/>
          </w:rPr>
        </w:r>
        <w:r w:rsidR="00F2467F">
          <w:rPr>
            <w:noProof/>
            <w:webHidden/>
          </w:rPr>
          <w:fldChar w:fldCharType="separate"/>
        </w:r>
        <w:r w:rsidR="00493B07">
          <w:rPr>
            <w:noProof/>
            <w:webHidden/>
          </w:rPr>
          <w:t>19</w:t>
        </w:r>
        <w:r w:rsidR="00F2467F">
          <w:rPr>
            <w:noProof/>
            <w:webHidden/>
          </w:rPr>
          <w:fldChar w:fldCharType="end"/>
        </w:r>
      </w:hyperlink>
    </w:p>
    <w:p w14:paraId="02F7B4B9" w14:textId="2806F6E2" w:rsidR="002663EF" w:rsidRDefault="00337885" w:rsidP="002663EF">
      <w:pPr>
        <w:pStyle w:val="Header"/>
        <w:ind w:right="141"/>
      </w:pPr>
      <w:r>
        <w:fldChar w:fldCharType="end"/>
      </w:r>
      <w:bookmarkStart w:id="2" w:name="_bookmark4"/>
      <w:bookmarkEnd w:id="2"/>
    </w:p>
    <w:p w14:paraId="42B3A08A" w14:textId="09BCB919" w:rsidR="002663EF" w:rsidRPr="002663EF" w:rsidRDefault="002663EF" w:rsidP="002663EF">
      <w:pPr>
        <w:spacing w:after="180"/>
        <w:sectPr w:rsidR="002663EF" w:rsidRPr="002663EF" w:rsidSect="002663EF">
          <w:headerReference w:type="default" r:id="rId19"/>
          <w:footerReference w:type="even" r:id="rId20"/>
          <w:footerReference w:type="default" r:id="rId21"/>
          <w:pgSz w:w="11907" w:h="16834" w:code="9"/>
          <w:pgMar w:top="1418" w:right="1842" w:bottom="1418" w:left="1843" w:header="284" w:footer="567" w:gutter="284"/>
          <w:pgNumType w:fmt="lowerRoman" w:start="1"/>
          <w:cols w:space="720"/>
          <w:docGrid w:linePitch="286"/>
        </w:sectPr>
      </w:pPr>
    </w:p>
    <w:p w14:paraId="281324A1" w14:textId="77777777" w:rsidR="00C448A2" w:rsidRPr="00C448A2" w:rsidRDefault="00C448A2" w:rsidP="00C448A2">
      <w:pPr>
        <w:pStyle w:val="Heading1"/>
      </w:pPr>
      <w:bookmarkStart w:id="3" w:name="_Toc50025102"/>
      <w:bookmarkStart w:id="4" w:name="_Toc50491714"/>
      <w:bookmarkStart w:id="5" w:name="_Toc235852292"/>
      <w:r w:rsidRPr="00C448A2">
        <w:lastRenderedPageBreak/>
        <w:t>Background</w:t>
      </w:r>
      <w:bookmarkEnd w:id="3"/>
      <w:bookmarkEnd w:id="4"/>
    </w:p>
    <w:p w14:paraId="0170F8AD" w14:textId="1CA174A6" w:rsidR="00C448A2" w:rsidRDefault="00C448A2" w:rsidP="00C448A2">
      <w:bookmarkStart w:id="6" w:name="_Toc50491715"/>
      <w:r w:rsidRPr="00C448A2">
        <w:rPr>
          <w:rStyle w:val="Heading2Char"/>
          <w:rFonts w:eastAsiaTheme="minorHAnsi"/>
        </w:rPr>
        <w:t>The National Ethics Advisory Committee</w:t>
      </w:r>
      <w:bookmarkEnd w:id="6"/>
      <w:r w:rsidRPr="00C448A2">
        <w:rPr>
          <w:rStyle w:val="Heading2Char"/>
          <w:rFonts w:eastAsiaTheme="minorHAnsi"/>
        </w:rPr>
        <w:br/>
      </w:r>
      <w:r>
        <w:br/>
      </w:r>
      <w:r w:rsidRPr="001B5241">
        <w:t>The National Ethics Advisory Committee (NEAC) is an independent advisor to the Minister of Health. NEAC was established in 2001 by section 16 of the New Zealand Public Health and Disability Act 2000.</w:t>
      </w:r>
    </w:p>
    <w:p w14:paraId="7904D393" w14:textId="77777777" w:rsidR="00C448A2" w:rsidRPr="001B5241" w:rsidRDefault="00C448A2" w:rsidP="00C448A2"/>
    <w:p w14:paraId="6600C390" w14:textId="77777777" w:rsidR="00C448A2" w:rsidRPr="008565C1" w:rsidRDefault="00C448A2" w:rsidP="00C448A2">
      <w:pPr>
        <w:rPr>
          <w:lang w:eastAsia="en-NZ"/>
        </w:rPr>
      </w:pPr>
      <w:r w:rsidRPr="008565C1">
        <w:rPr>
          <w:lang w:eastAsia="en-NZ"/>
        </w:rPr>
        <w:t>The National Ethics Advisory Committee’s statutory functions are to:</w:t>
      </w:r>
    </w:p>
    <w:p w14:paraId="465B466D" w14:textId="77777777" w:rsidR="00C448A2" w:rsidRPr="008565C1" w:rsidRDefault="00C448A2" w:rsidP="00C448A2">
      <w:pPr>
        <w:pStyle w:val="Bullet"/>
        <w:rPr>
          <w:lang w:eastAsia="en-NZ"/>
        </w:rPr>
      </w:pPr>
      <w:r w:rsidRPr="008565C1">
        <w:rPr>
          <w:lang w:eastAsia="en-NZ"/>
        </w:rPr>
        <w:t>provide advice to the Minister of Health on ethical issues of national significance in respect of any health and disability matters (including research and health services)</w:t>
      </w:r>
    </w:p>
    <w:p w14:paraId="36A9A41B" w14:textId="77777777" w:rsidR="00C448A2" w:rsidRDefault="00C448A2" w:rsidP="00C448A2">
      <w:pPr>
        <w:pStyle w:val="Bullet"/>
        <w:rPr>
          <w:lang w:eastAsia="en-NZ"/>
        </w:rPr>
      </w:pPr>
      <w:r w:rsidRPr="008565C1">
        <w:rPr>
          <w:lang w:eastAsia="en-NZ"/>
        </w:rPr>
        <w:t>determine nationally consistent ethical standards across the health and disability sector and provide scrutiny for national health research and health services.</w:t>
      </w:r>
    </w:p>
    <w:p w14:paraId="2C7AF66B" w14:textId="77777777" w:rsidR="00C448A2" w:rsidRDefault="00C448A2" w:rsidP="00C448A2"/>
    <w:p w14:paraId="250977DA" w14:textId="4935B559" w:rsidR="00C448A2" w:rsidRPr="00F0224D" w:rsidRDefault="00C448A2" w:rsidP="00C448A2">
      <w:r w:rsidRPr="001B5241">
        <w:t>The Ministry of Health provides policy staff and other resources to support NEAC</w:t>
      </w:r>
      <w:r>
        <w:t>,</w:t>
      </w:r>
      <w:r w:rsidRPr="001B5241">
        <w:t xml:space="preserve"> but the Committee remains independent of the Ministry and its work.</w:t>
      </w:r>
    </w:p>
    <w:p w14:paraId="7747AA14" w14:textId="77777777" w:rsidR="00C448A2" w:rsidRPr="008565C1" w:rsidRDefault="00C448A2" w:rsidP="00C448A2">
      <w:pPr>
        <w:pStyle w:val="Heading2"/>
        <w:rPr>
          <w:bCs/>
          <w:color w:val="auto"/>
          <w:lang w:eastAsia="en-NZ"/>
        </w:rPr>
      </w:pPr>
      <w:bookmarkStart w:id="7" w:name="_Toc50491716"/>
      <w:r w:rsidRPr="008565C1">
        <w:t>Developing the Framework</w:t>
      </w:r>
      <w:bookmarkEnd w:id="7"/>
    </w:p>
    <w:p w14:paraId="1354B0D6" w14:textId="77777777" w:rsidR="00C448A2" w:rsidRPr="008565C1" w:rsidRDefault="00C448A2" w:rsidP="00C448A2">
      <w:pPr>
        <w:spacing w:before="100" w:beforeAutospacing="1" w:after="100" w:afterAutospacing="1"/>
        <w:rPr>
          <w:rFonts w:cs="Arial"/>
          <w:lang w:eastAsia="en-NZ"/>
        </w:rPr>
      </w:pPr>
      <w:r w:rsidRPr="008565C1">
        <w:rPr>
          <w:rFonts w:cs="Arial"/>
          <w:b/>
          <w:bCs/>
          <w:lang w:eastAsia="en-NZ"/>
        </w:rPr>
        <w:t>The Framework was developed in response to COVID-19 but has wider application</w:t>
      </w:r>
    </w:p>
    <w:p w14:paraId="3310C70D" w14:textId="77777777" w:rsidR="00C448A2" w:rsidRPr="008565C1" w:rsidRDefault="00C448A2" w:rsidP="00C448A2">
      <w:pPr>
        <w:rPr>
          <w:lang w:eastAsia="en-NZ"/>
        </w:rPr>
      </w:pPr>
      <w:r>
        <w:rPr>
          <w:lang w:eastAsia="en-NZ"/>
        </w:rPr>
        <w:t xml:space="preserve">NEAC’s </w:t>
      </w:r>
      <w:r w:rsidRPr="00DC0F6B">
        <w:rPr>
          <w:lang w:eastAsia="en-NZ"/>
        </w:rPr>
        <w:t xml:space="preserve">Draft Ethical </w:t>
      </w:r>
      <w:r w:rsidRPr="008565C1">
        <w:rPr>
          <w:lang w:eastAsia="en-NZ"/>
        </w:rPr>
        <w:t xml:space="preserve">Framework </w:t>
      </w:r>
      <w:r w:rsidRPr="00DC0F6B">
        <w:rPr>
          <w:lang w:eastAsia="en-NZ"/>
        </w:rPr>
        <w:t xml:space="preserve">for Resource Allocation in Times of Scarcity </w:t>
      </w:r>
      <w:r>
        <w:rPr>
          <w:lang w:eastAsia="en-NZ"/>
        </w:rPr>
        <w:t xml:space="preserve">(the Framework) </w:t>
      </w:r>
      <w:r w:rsidRPr="008565C1">
        <w:rPr>
          <w:lang w:eastAsia="en-NZ"/>
        </w:rPr>
        <w:t xml:space="preserve">is a high-level guidance document for the health and disability sector that helps health workers and policy makers consider ethics when allocating resources </w:t>
      </w:r>
      <w:r>
        <w:rPr>
          <w:lang w:eastAsia="en-NZ"/>
        </w:rPr>
        <w:t>in the context of the</w:t>
      </w:r>
      <w:r w:rsidRPr="008565C1">
        <w:rPr>
          <w:lang w:eastAsia="en-NZ"/>
        </w:rPr>
        <w:t xml:space="preserve"> COVID-19</w:t>
      </w:r>
      <w:r>
        <w:rPr>
          <w:lang w:eastAsia="en-NZ"/>
        </w:rPr>
        <w:t xml:space="preserve"> response</w:t>
      </w:r>
      <w:r w:rsidRPr="008565C1">
        <w:rPr>
          <w:lang w:eastAsia="en-NZ"/>
        </w:rPr>
        <w:t xml:space="preserve">. </w:t>
      </w:r>
    </w:p>
    <w:p w14:paraId="797E58C4" w14:textId="77777777" w:rsidR="00C448A2" w:rsidRDefault="00C448A2" w:rsidP="00C448A2">
      <w:pPr>
        <w:rPr>
          <w:lang w:eastAsia="en-NZ"/>
        </w:rPr>
      </w:pPr>
    </w:p>
    <w:p w14:paraId="25B1183D" w14:textId="044C2D9B" w:rsidR="00C448A2" w:rsidRPr="008565C1" w:rsidRDefault="00C448A2" w:rsidP="00C448A2">
      <w:pPr>
        <w:rPr>
          <w:lang w:eastAsia="en-NZ"/>
        </w:rPr>
      </w:pPr>
      <w:r w:rsidRPr="008565C1">
        <w:rPr>
          <w:lang w:eastAsia="en-NZ"/>
        </w:rPr>
        <w:t>Importantly, NEAC note</w:t>
      </w:r>
      <w:r>
        <w:rPr>
          <w:lang w:eastAsia="en-NZ"/>
        </w:rPr>
        <w:t>s</w:t>
      </w:r>
      <w:r w:rsidRPr="008565C1">
        <w:rPr>
          <w:lang w:eastAsia="en-NZ"/>
        </w:rPr>
        <w:t xml:space="preserve"> that</w:t>
      </w:r>
      <w:r>
        <w:rPr>
          <w:lang w:eastAsia="en-NZ"/>
        </w:rPr>
        <w:t>, in this context,</w:t>
      </w:r>
      <w:r w:rsidRPr="008565C1">
        <w:rPr>
          <w:lang w:eastAsia="en-NZ"/>
        </w:rPr>
        <w:t xml:space="preserve"> in some instances people will need to prioritise one value over another</w:t>
      </w:r>
      <w:r>
        <w:rPr>
          <w:lang w:eastAsia="en-NZ"/>
        </w:rPr>
        <w:t>,</w:t>
      </w:r>
      <w:r w:rsidRPr="008565C1">
        <w:rPr>
          <w:lang w:eastAsia="en-NZ"/>
        </w:rPr>
        <w:t xml:space="preserve"> as </w:t>
      </w:r>
      <w:r>
        <w:rPr>
          <w:lang w:eastAsia="en-NZ"/>
        </w:rPr>
        <w:t xml:space="preserve">values </w:t>
      </w:r>
      <w:r w:rsidRPr="008565C1">
        <w:rPr>
          <w:lang w:eastAsia="en-NZ"/>
        </w:rPr>
        <w:t>will sometimes be incompatible. The Framework helps decision-makers identify ethical tensions and recommends the establishment of decision-making groups to work through the</w:t>
      </w:r>
      <w:r>
        <w:rPr>
          <w:lang w:eastAsia="en-NZ"/>
        </w:rPr>
        <w:t>se</w:t>
      </w:r>
      <w:r w:rsidRPr="008565C1">
        <w:rPr>
          <w:lang w:eastAsia="en-NZ"/>
        </w:rPr>
        <w:t xml:space="preserve"> tensions and uphold transparency of </w:t>
      </w:r>
      <w:r>
        <w:rPr>
          <w:lang w:eastAsia="en-NZ"/>
        </w:rPr>
        <w:t>decision-making</w:t>
      </w:r>
      <w:r w:rsidRPr="008565C1">
        <w:rPr>
          <w:lang w:eastAsia="en-NZ"/>
        </w:rPr>
        <w:t>.</w:t>
      </w:r>
    </w:p>
    <w:p w14:paraId="15FB9FD3" w14:textId="77777777" w:rsidR="00C448A2" w:rsidRPr="008565C1" w:rsidRDefault="00C448A2" w:rsidP="00C448A2">
      <w:pPr>
        <w:spacing w:before="100" w:beforeAutospacing="1" w:after="100" w:afterAutospacing="1"/>
        <w:rPr>
          <w:rFonts w:cs="Arial"/>
          <w:lang w:eastAsia="en-NZ"/>
        </w:rPr>
      </w:pPr>
      <w:r w:rsidRPr="008565C1">
        <w:rPr>
          <w:rFonts w:cs="Arial"/>
          <w:b/>
          <w:bCs/>
          <w:lang w:eastAsia="en-NZ"/>
        </w:rPr>
        <w:t xml:space="preserve">NEAC’s framework includes </w:t>
      </w:r>
      <w:proofErr w:type="spellStart"/>
      <w:r w:rsidRPr="008565C1">
        <w:rPr>
          <w:rFonts w:cs="Arial"/>
          <w:b/>
          <w:bCs/>
          <w:lang w:eastAsia="en-NZ"/>
        </w:rPr>
        <w:t>Te</w:t>
      </w:r>
      <w:proofErr w:type="spellEnd"/>
      <w:r w:rsidRPr="008565C1">
        <w:rPr>
          <w:rFonts w:cs="Arial"/>
          <w:b/>
          <w:bCs/>
          <w:lang w:eastAsia="en-NZ"/>
        </w:rPr>
        <w:t xml:space="preserve"> </w:t>
      </w:r>
      <w:proofErr w:type="spellStart"/>
      <w:r w:rsidRPr="008565C1">
        <w:rPr>
          <w:rFonts w:cs="Arial"/>
          <w:b/>
          <w:bCs/>
          <w:lang w:eastAsia="en-NZ"/>
        </w:rPr>
        <w:t>Tiriti</w:t>
      </w:r>
      <w:proofErr w:type="spellEnd"/>
      <w:r w:rsidRPr="008565C1">
        <w:rPr>
          <w:rFonts w:cs="Arial"/>
          <w:b/>
          <w:bCs/>
          <w:lang w:eastAsia="en-NZ"/>
        </w:rPr>
        <w:t xml:space="preserve"> principles and equity as a core principle </w:t>
      </w:r>
    </w:p>
    <w:p w14:paraId="712F15F3" w14:textId="77777777" w:rsidR="00C448A2" w:rsidRPr="008565C1" w:rsidRDefault="00C448A2" w:rsidP="00C448A2">
      <w:pPr>
        <w:rPr>
          <w:lang w:eastAsia="en-NZ"/>
        </w:rPr>
      </w:pPr>
      <w:r w:rsidRPr="008565C1">
        <w:rPr>
          <w:lang w:eastAsia="en-NZ"/>
        </w:rPr>
        <w:t xml:space="preserve">The Framework sets out four essential ethical principles and four </w:t>
      </w:r>
      <w:proofErr w:type="spellStart"/>
      <w:r w:rsidRPr="008565C1">
        <w:rPr>
          <w:lang w:eastAsia="en-NZ"/>
        </w:rPr>
        <w:t>Te</w:t>
      </w:r>
      <w:proofErr w:type="spellEnd"/>
      <w:r w:rsidRPr="008565C1">
        <w:rPr>
          <w:lang w:eastAsia="en-NZ"/>
        </w:rPr>
        <w:t xml:space="preserve"> </w:t>
      </w:r>
      <w:proofErr w:type="spellStart"/>
      <w:r w:rsidRPr="008565C1">
        <w:rPr>
          <w:lang w:eastAsia="en-NZ"/>
        </w:rPr>
        <w:t>Tiriti</w:t>
      </w:r>
      <w:proofErr w:type="spellEnd"/>
      <w:r w:rsidRPr="008565C1">
        <w:rPr>
          <w:lang w:eastAsia="en-NZ"/>
        </w:rPr>
        <w:t xml:space="preserve"> principles that medical staff, service planners and policy analysts should consider when responding to pandemics. </w:t>
      </w:r>
    </w:p>
    <w:p w14:paraId="1336CB9A" w14:textId="77777777" w:rsidR="00C448A2" w:rsidRDefault="00C448A2" w:rsidP="00C448A2">
      <w:pPr>
        <w:rPr>
          <w:lang w:eastAsia="en-NZ"/>
        </w:rPr>
      </w:pPr>
    </w:p>
    <w:p w14:paraId="366A033D" w14:textId="7F203FA6" w:rsidR="00C448A2" w:rsidRPr="008565C1" w:rsidRDefault="00C448A2" w:rsidP="00C448A2">
      <w:pPr>
        <w:rPr>
          <w:lang w:eastAsia="en-NZ"/>
        </w:rPr>
      </w:pPr>
      <w:r w:rsidRPr="008565C1">
        <w:rPr>
          <w:lang w:eastAsia="en-NZ"/>
        </w:rPr>
        <w:t xml:space="preserve">The ethical principles have been developed </w:t>
      </w:r>
      <w:r>
        <w:rPr>
          <w:lang w:eastAsia="en-NZ"/>
        </w:rPr>
        <w:t>on the basis of</w:t>
      </w:r>
      <w:r w:rsidRPr="008565C1">
        <w:rPr>
          <w:lang w:eastAsia="en-NZ"/>
        </w:rPr>
        <w:t xml:space="preserve"> international literature. NEAC has adopted the Ministry </w:t>
      </w:r>
      <w:r>
        <w:rPr>
          <w:lang w:eastAsia="en-NZ"/>
        </w:rPr>
        <w:t xml:space="preserve">of Health’s </w:t>
      </w:r>
      <w:r w:rsidRPr="008565C1">
        <w:rPr>
          <w:lang w:eastAsia="en-NZ"/>
        </w:rPr>
        <w:t xml:space="preserve">definition of equity, which recognises that different people have different levels of advantage and so require different approaches and resources </w:t>
      </w:r>
      <w:r>
        <w:rPr>
          <w:lang w:eastAsia="en-NZ"/>
        </w:rPr>
        <w:t xml:space="preserve">for them </w:t>
      </w:r>
      <w:r w:rsidRPr="008565C1">
        <w:rPr>
          <w:lang w:eastAsia="en-NZ"/>
        </w:rPr>
        <w:t xml:space="preserve">to gain equitable health outcomes. </w:t>
      </w:r>
    </w:p>
    <w:p w14:paraId="1C0B0DA9" w14:textId="77777777" w:rsidR="00C448A2" w:rsidRPr="008565C1" w:rsidRDefault="00C448A2" w:rsidP="00C448A2">
      <w:pPr>
        <w:spacing w:before="100" w:beforeAutospacing="1" w:after="100" w:afterAutospacing="1"/>
        <w:rPr>
          <w:rFonts w:cs="Arial"/>
          <w:lang w:eastAsia="en-NZ"/>
        </w:rPr>
      </w:pPr>
      <w:r w:rsidRPr="008565C1">
        <w:rPr>
          <w:rFonts w:cs="Arial"/>
          <w:lang w:eastAsia="en-NZ"/>
        </w:rPr>
        <w:t xml:space="preserve">In a resource allocation setting, health workers and policy makers should consider how resources can be allocated to mitigate the adverse consequences of pandemic response measures while avoiding or minimising growth in inequity.  </w:t>
      </w:r>
    </w:p>
    <w:p w14:paraId="6F17BF58" w14:textId="77777777" w:rsidR="00C448A2" w:rsidRPr="008565C1" w:rsidRDefault="00C448A2" w:rsidP="00C448A2">
      <w:pPr>
        <w:pStyle w:val="Heading2"/>
      </w:pPr>
      <w:bookmarkStart w:id="8" w:name="_Toc50491717"/>
      <w:r w:rsidRPr="008565C1">
        <w:lastRenderedPageBreak/>
        <w:t xml:space="preserve">Update of </w:t>
      </w:r>
      <w:r w:rsidRPr="00C448A2">
        <w:rPr>
          <w:i/>
        </w:rPr>
        <w:t>Getting Through Together</w:t>
      </w:r>
      <w:bookmarkEnd w:id="8"/>
    </w:p>
    <w:p w14:paraId="7D148096" w14:textId="77777777" w:rsidR="00C448A2" w:rsidRDefault="00C448A2" w:rsidP="00C448A2">
      <w:pPr>
        <w:spacing w:before="100" w:beforeAutospacing="1" w:after="100" w:afterAutospacing="1"/>
        <w:rPr>
          <w:rFonts w:cs="Arial"/>
          <w:lang w:eastAsia="en-NZ"/>
        </w:rPr>
      </w:pPr>
      <w:r w:rsidRPr="008565C1">
        <w:rPr>
          <w:rFonts w:cs="Arial"/>
          <w:lang w:eastAsia="en-NZ"/>
        </w:rPr>
        <w:t>NEAC recognise</w:t>
      </w:r>
      <w:r>
        <w:rPr>
          <w:rFonts w:cs="Arial"/>
          <w:lang w:eastAsia="en-NZ"/>
        </w:rPr>
        <w:t>s</w:t>
      </w:r>
      <w:r w:rsidRPr="008565C1">
        <w:rPr>
          <w:rFonts w:cs="Arial"/>
          <w:lang w:eastAsia="en-NZ"/>
        </w:rPr>
        <w:t xml:space="preserve"> that </w:t>
      </w:r>
      <w:r>
        <w:rPr>
          <w:rFonts w:cs="Arial"/>
          <w:lang w:eastAsia="en-NZ"/>
        </w:rPr>
        <w:t xml:space="preserve">the current </w:t>
      </w:r>
      <w:r w:rsidRPr="008565C1">
        <w:rPr>
          <w:rFonts w:cs="Arial"/>
          <w:lang w:eastAsia="en-NZ"/>
        </w:rPr>
        <w:t xml:space="preserve">Framework only addresses a small part of pandemic </w:t>
      </w:r>
      <w:proofErr w:type="gramStart"/>
      <w:r w:rsidRPr="008565C1">
        <w:rPr>
          <w:rFonts w:cs="Arial"/>
          <w:lang w:eastAsia="en-NZ"/>
        </w:rPr>
        <w:t>ethics</w:t>
      </w:r>
      <w:r>
        <w:rPr>
          <w:rFonts w:cs="Arial"/>
          <w:lang w:eastAsia="en-NZ"/>
        </w:rPr>
        <w:t>,</w:t>
      </w:r>
      <w:r w:rsidRPr="008565C1">
        <w:rPr>
          <w:rFonts w:cs="Arial"/>
          <w:lang w:eastAsia="en-NZ"/>
        </w:rPr>
        <w:t xml:space="preserve"> and</w:t>
      </w:r>
      <w:proofErr w:type="gramEnd"/>
      <w:r w:rsidRPr="008565C1">
        <w:rPr>
          <w:rFonts w:cs="Arial"/>
          <w:lang w:eastAsia="en-NZ"/>
        </w:rPr>
        <w:t xml:space="preserve"> is currently focused on COVID-19. </w:t>
      </w:r>
      <w:r>
        <w:rPr>
          <w:rFonts w:cs="Arial"/>
          <w:lang w:eastAsia="en-NZ"/>
        </w:rPr>
        <w:t xml:space="preserve">It </w:t>
      </w:r>
      <w:r w:rsidRPr="008565C1">
        <w:rPr>
          <w:rFonts w:cs="Arial"/>
          <w:lang w:eastAsia="en-NZ"/>
        </w:rPr>
        <w:t>intend</w:t>
      </w:r>
      <w:r>
        <w:rPr>
          <w:rFonts w:cs="Arial"/>
          <w:lang w:eastAsia="en-NZ"/>
        </w:rPr>
        <w:t>s</w:t>
      </w:r>
      <w:r w:rsidRPr="008565C1">
        <w:rPr>
          <w:rFonts w:cs="Arial"/>
          <w:lang w:eastAsia="en-NZ"/>
        </w:rPr>
        <w:t xml:space="preserve"> to revise the Framework to be applicable to pandemics more generally</w:t>
      </w:r>
      <w:r>
        <w:rPr>
          <w:rFonts w:cs="Arial"/>
          <w:lang w:eastAsia="en-NZ"/>
        </w:rPr>
        <w:t>,</w:t>
      </w:r>
      <w:r w:rsidRPr="008565C1">
        <w:rPr>
          <w:rFonts w:cs="Arial"/>
          <w:lang w:eastAsia="en-NZ"/>
        </w:rPr>
        <w:t xml:space="preserve"> </w:t>
      </w:r>
      <w:r>
        <w:rPr>
          <w:rFonts w:cs="Arial"/>
          <w:lang w:eastAsia="en-NZ"/>
        </w:rPr>
        <w:t xml:space="preserve">as part of its </w:t>
      </w:r>
      <w:r w:rsidRPr="008565C1">
        <w:rPr>
          <w:rFonts w:cs="Arial"/>
          <w:lang w:eastAsia="en-NZ"/>
        </w:rPr>
        <w:t xml:space="preserve">planned review of </w:t>
      </w:r>
      <w:r>
        <w:rPr>
          <w:rFonts w:cs="Arial"/>
          <w:lang w:eastAsia="en-NZ"/>
        </w:rPr>
        <w:t xml:space="preserve">its </w:t>
      </w:r>
      <w:r w:rsidRPr="008565C1">
        <w:rPr>
          <w:rFonts w:cs="Arial"/>
          <w:lang w:eastAsia="en-NZ"/>
        </w:rPr>
        <w:t xml:space="preserve">2007 document </w:t>
      </w:r>
      <w:r w:rsidRPr="003342D7">
        <w:rPr>
          <w:rFonts w:cs="Arial"/>
          <w:i/>
          <w:iCs/>
          <w:lang w:eastAsia="en-NZ"/>
        </w:rPr>
        <w:t>Getting Through Together: Ethical Values for a Pandemic</w:t>
      </w:r>
      <w:r>
        <w:rPr>
          <w:rFonts w:cs="Arial"/>
          <w:i/>
          <w:iCs/>
          <w:lang w:eastAsia="en-NZ"/>
        </w:rPr>
        <w:t xml:space="preserve"> </w:t>
      </w:r>
      <w:r>
        <w:rPr>
          <w:rFonts w:cs="Arial"/>
          <w:lang w:eastAsia="en-NZ"/>
        </w:rPr>
        <w:t>(</w:t>
      </w:r>
      <w:r w:rsidRPr="0007255B">
        <w:rPr>
          <w:rFonts w:cs="Arial"/>
          <w:i/>
          <w:iCs/>
          <w:lang w:eastAsia="en-NZ"/>
        </w:rPr>
        <w:t>Getting Through Together</w:t>
      </w:r>
      <w:r>
        <w:rPr>
          <w:rFonts w:cs="Arial"/>
          <w:lang w:eastAsia="en-NZ"/>
        </w:rPr>
        <w:t>)</w:t>
      </w:r>
      <w:r w:rsidRPr="008565C1">
        <w:rPr>
          <w:rFonts w:cs="Arial"/>
          <w:lang w:eastAsia="en-NZ"/>
        </w:rPr>
        <w:t xml:space="preserve">. </w:t>
      </w:r>
    </w:p>
    <w:p w14:paraId="1695F0CF" w14:textId="77777777" w:rsidR="00C448A2" w:rsidRPr="008565C1" w:rsidRDefault="00C448A2" w:rsidP="00C448A2">
      <w:pPr>
        <w:spacing w:before="100" w:beforeAutospacing="1" w:after="100" w:afterAutospacing="1"/>
        <w:rPr>
          <w:rFonts w:cs="Arial"/>
          <w:lang w:eastAsia="en-NZ"/>
        </w:rPr>
      </w:pPr>
      <w:r w:rsidRPr="000A32C9">
        <w:rPr>
          <w:rFonts w:cs="Arial"/>
          <w:i/>
          <w:iCs/>
          <w:lang w:eastAsia="en-NZ"/>
        </w:rPr>
        <w:t>Getting Through Together</w:t>
      </w:r>
      <w:r w:rsidRPr="008565C1">
        <w:rPr>
          <w:rFonts w:cs="Arial"/>
          <w:lang w:eastAsia="en-NZ"/>
        </w:rPr>
        <w:t xml:space="preserve"> considers ethical issues </w:t>
      </w:r>
      <w:r>
        <w:rPr>
          <w:rFonts w:cs="Arial"/>
          <w:lang w:eastAsia="en-NZ"/>
        </w:rPr>
        <w:t xml:space="preserve">that </w:t>
      </w:r>
      <w:r w:rsidRPr="008565C1">
        <w:rPr>
          <w:rFonts w:cs="Arial"/>
          <w:lang w:eastAsia="en-NZ"/>
        </w:rPr>
        <w:t>may arise during any pandemic. NEAC believe</w:t>
      </w:r>
      <w:r>
        <w:rPr>
          <w:rFonts w:cs="Arial"/>
          <w:lang w:eastAsia="en-NZ"/>
        </w:rPr>
        <w:t>s</w:t>
      </w:r>
      <w:r w:rsidRPr="008565C1">
        <w:rPr>
          <w:rFonts w:cs="Arial"/>
          <w:lang w:eastAsia="en-NZ"/>
        </w:rPr>
        <w:t xml:space="preserve"> </w:t>
      </w:r>
      <w:r>
        <w:rPr>
          <w:rFonts w:cs="Arial"/>
          <w:lang w:eastAsia="en-NZ"/>
        </w:rPr>
        <w:t xml:space="preserve">it </w:t>
      </w:r>
      <w:r w:rsidRPr="008565C1">
        <w:rPr>
          <w:rFonts w:cs="Arial"/>
          <w:lang w:eastAsia="en-NZ"/>
        </w:rPr>
        <w:t xml:space="preserve">needs to be updated for two reasons. </w:t>
      </w:r>
      <w:r>
        <w:rPr>
          <w:rFonts w:cs="Arial"/>
          <w:lang w:eastAsia="en-NZ"/>
        </w:rPr>
        <w:t>F</w:t>
      </w:r>
      <w:r w:rsidRPr="008565C1">
        <w:rPr>
          <w:rFonts w:cs="Arial"/>
          <w:lang w:eastAsia="en-NZ"/>
        </w:rPr>
        <w:t>irst</w:t>
      </w:r>
      <w:r>
        <w:rPr>
          <w:rFonts w:cs="Arial"/>
          <w:lang w:eastAsia="en-NZ"/>
        </w:rPr>
        <w:t>,</w:t>
      </w:r>
      <w:r w:rsidRPr="008565C1">
        <w:rPr>
          <w:rFonts w:cs="Arial"/>
          <w:lang w:eastAsia="en-NZ"/>
        </w:rPr>
        <w:t xml:space="preserve"> </w:t>
      </w:r>
      <w:r>
        <w:rPr>
          <w:rFonts w:cs="Arial"/>
          <w:lang w:eastAsia="en-NZ"/>
        </w:rPr>
        <w:t xml:space="preserve">it needs </w:t>
      </w:r>
      <w:r w:rsidRPr="008565C1">
        <w:rPr>
          <w:rFonts w:cs="Arial"/>
          <w:lang w:eastAsia="en-NZ"/>
        </w:rPr>
        <w:t xml:space="preserve">to consider </w:t>
      </w:r>
      <w:r>
        <w:rPr>
          <w:rFonts w:cs="Arial"/>
          <w:lang w:eastAsia="en-NZ"/>
        </w:rPr>
        <w:t xml:space="preserve">further </w:t>
      </w:r>
      <w:r w:rsidRPr="008565C1">
        <w:rPr>
          <w:rFonts w:cs="Arial"/>
          <w:lang w:eastAsia="en-NZ"/>
        </w:rPr>
        <w:t>ethical issues</w:t>
      </w:r>
      <w:r>
        <w:rPr>
          <w:rFonts w:cs="Arial"/>
          <w:lang w:eastAsia="en-NZ"/>
        </w:rPr>
        <w:t>,</w:t>
      </w:r>
      <w:r w:rsidRPr="008565C1">
        <w:rPr>
          <w:rFonts w:cs="Arial"/>
          <w:lang w:eastAsia="en-NZ"/>
        </w:rPr>
        <w:t xml:space="preserve"> including use of digital technologies, specific guidance on public health interventions and the impact </w:t>
      </w:r>
      <w:r>
        <w:rPr>
          <w:rFonts w:cs="Arial"/>
          <w:lang w:eastAsia="en-NZ"/>
        </w:rPr>
        <w:t xml:space="preserve">of a pandemic </w:t>
      </w:r>
      <w:r w:rsidRPr="008565C1">
        <w:rPr>
          <w:rFonts w:cs="Arial"/>
          <w:lang w:eastAsia="en-NZ"/>
        </w:rPr>
        <w:t>on routine standards of care and consideration of equity.</w:t>
      </w:r>
      <w:r>
        <w:rPr>
          <w:rFonts w:cs="Arial"/>
          <w:lang w:eastAsia="en-NZ"/>
        </w:rPr>
        <w:t xml:space="preserve"> S</w:t>
      </w:r>
      <w:r w:rsidRPr="008565C1">
        <w:rPr>
          <w:rFonts w:cs="Arial"/>
          <w:lang w:eastAsia="en-NZ"/>
        </w:rPr>
        <w:t>econd</w:t>
      </w:r>
      <w:r>
        <w:rPr>
          <w:rFonts w:cs="Arial"/>
          <w:lang w:eastAsia="en-NZ"/>
        </w:rPr>
        <w:t>,</w:t>
      </w:r>
      <w:r w:rsidRPr="008565C1">
        <w:rPr>
          <w:rFonts w:cs="Arial"/>
          <w:lang w:eastAsia="en-NZ"/>
        </w:rPr>
        <w:t xml:space="preserve"> </w:t>
      </w:r>
      <w:r>
        <w:rPr>
          <w:rFonts w:cs="Arial"/>
          <w:lang w:eastAsia="en-NZ"/>
        </w:rPr>
        <w:t xml:space="preserve">its </w:t>
      </w:r>
      <w:r w:rsidRPr="008565C1">
        <w:rPr>
          <w:rFonts w:cs="Arial"/>
          <w:lang w:eastAsia="en-NZ"/>
        </w:rPr>
        <w:t xml:space="preserve">structure </w:t>
      </w:r>
      <w:r>
        <w:rPr>
          <w:rFonts w:cs="Arial"/>
          <w:lang w:eastAsia="en-NZ"/>
        </w:rPr>
        <w:t>needs amendment</w:t>
      </w:r>
      <w:r w:rsidRPr="008565C1">
        <w:rPr>
          <w:rFonts w:cs="Arial"/>
          <w:lang w:eastAsia="en-NZ"/>
        </w:rPr>
        <w:t xml:space="preserve">. </w:t>
      </w:r>
      <w:r>
        <w:rPr>
          <w:rFonts w:cs="Arial"/>
          <w:lang w:eastAsia="en-NZ"/>
        </w:rPr>
        <w:t>Experience from the COVID-19 pandemic revealed that t</w:t>
      </w:r>
      <w:r w:rsidRPr="008565C1">
        <w:rPr>
          <w:rFonts w:cs="Arial"/>
          <w:lang w:eastAsia="en-NZ"/>
        </w:rPr>
        <w:t xml:space="preserve">he current document is difficult to use. The target audience of a pandemic ethics document </w:t>
      </w:r>
      <w:r>
        <w:rPr>
          <w:rFonts w:cs="Arial"/>
          <w:lang w:eastAsia="en-NZ"/>
        </w:rPr>
        <w:t xml:space="preserve">is wide, and includes </w:t>
      </w:r>
      <w:r w:rsidRPr="008565C1">
        <w:rPr>
          <w:rFonts w:cs="Arial"/>
          <w:lang w:eastAsia="en-NZ"/>
        </w:rPr>
        <w:t>decision-makers, government and the public. Accordingly, the document should be clear and easy to navigate.</w:t>
      </w:r>
    </w:p>
    <w:p w14:paraId="1143E17C" w14:textId="77777777" w:rsidR="00C448A2" w:rsidRPr="008565C1" w:rsidRDefault="00C448A2" w:rsidP="00C448A2">
      <w:pPr>
        <w:pStyle w:val="Heading2"/>
      </w:pPr>
      <w:bookmarkStart w:id="9" w:name="_Toc50491718"/>
      <w:r w:rsidRPr="008565C1">
        <w:t>NEAC Members</w:t>
      </w:r>
      <w:bookmarkEnd w:id="9"/>
    </w:p>
    <w:p w14:paraId="2FDC7D82" w14:textId="77777777" w:rsidR="00C448A2" w:rsidRPr="008565C1" w:rsidRDefault="00C448A2" w:rsidP="00C448A2">
      <w:pPr>
        <w:pStyle w:val="Bullet"/>
      </w:pPr>
      <w:r w:rsidRPr="008565C1">
        <w:t>Neil Pickering</w:t>
      </w:r>
    </w:p>
    <w:p w14:paraId="38C7C1AA" w14:textId="77777777" w:rsidR="00C448A2" w:rsidRPr="008565C1" w:rsidRDefault="00C448A2" w:rsidP="00C448A2">
      <w:pPr>
        <w:pStyle w:val="Bullet"/>
      </w:pPr>
      <w:r w:rsidRPr="008565C1">
        <w:t xml:space="preserve">Maureen </w:t>
      </w:r>
      <w:proofErr w:type="spellStart"/>
      <w:r w:rsidRPr="008565C1">
        <w:t>Holdaway</w:t>
      </w:r>
      <w:proofErr w:type="spellEnd"/>
    </w:p>
    <w:p w14:paraId="625D5DA3" w14:textId="77777777" w:rsidR="00C448A2" w:rsidRPr="008565C1" w:rsidRDefault="00C448A2" w:rsidP="00C448A2">
      <w:pPr>
        <w:pStyle w:val="Bullet"/>
      </w:pPr>
      <w:r w:rsidRPr="008565C1">
        <w:t>Kahu McClintock</w:t>
      </w:r>
    </w:p>
    <w:p w14:paraId="32DE2FF9" w14:textId="77777777" w:rsidR="00C448A2" w:rsidRPr="008565C1" w:rsidRDefault="00C448A2" w:rsidP="00C448A2">
      <w:pPr>
        <w:pStyle w:val="Bullet"/>
      </w:pPr>
      <w:r w:rsidRPr="008565C1">
        <w:t>Wayne Miles</w:t>
      </w:r>
    </w:p>
    <w:p w14:paraId="10E343AB" w14:textId="77777777" w:rsidR="00C448A2" w:rsidRPr="008565C1" w:rsidRDefault="00C448A2" w:rsidP="00C448A2">
      <w:pPr>
        <w:pStyle w:val="Bullet"/>
      </w:pPr>
      <w:r w:rsidRPr="008565C1">
        <w:t>Liz Richards</w:t>
      </w:r>
    </w:p>
    <w:p w14:paraId="79A7B349" w14:textId="77777777" w:rsidR="00C448A2" w:rsidRPr="008565C1" w:rsidRDefault="00C448A2" w:rsidP="00C448A2">
      <w:pPr>
        <w:pStyle w:val="Bullet"/>
      </w:pPr>
      <w:r w:rsidRPr="008565C1">
        <w:t>Hope Tupara</w:t>
      </w:r>
    </w:p>
    <w:p w14:paraId="3195F241" w14:textId="77777777" w:rsidR="00C448A2" w:rsidRPr="008565C1" w:rsidRDefault="00C448A2" w:rsidP="00C448A2">
      <w:pPr>
        <w:pStyle w:val="Bullet"/>
      </w:pPr>
      <w:r w:rsidRPr="008565C1">
        <w:t>Dana Wensley</w:t>
      </w:r>
    </w:p>
    <w:p w14:paraId="607B6F78" w14:textId="77777777" w:rsidR="00C448A2" w:rsidRPr="008565C1" w:rsidRDefault="00C448A2" w:rsidP="00C448A2">
      <w:pPr>
        <w:pStyle w:val="Bullet"/>
      </w:pPr>
      <w:r w:rsidRPr="008565C1">
        <w:t>Mary-Anne Woodnorth</w:t>
      </w:r>
    </w:p>
    <w:p w14:paraId="7A702FD9" w14:textId="77777777" w:rsidR="00C448A2" w:rsidRPr="008565C1" w:rsidRDefault="00C448A2" w:rsidP="00C448A2">
      <w:pPr>
        <w:pStyle w:val="Bullet"/>
      </w:pPr>
      <w:r w:rsidRPr="008565C1">
        <w:t>Gordon Jackman</w:t>
      </w:r>
    </w:p>
    <w:p w14:paraId="3CE88F31" w14:textId="77777777" w:rsidR="00C448A2" w:rsidRPr="008565C1" w:rsidRDefault="00C448A2" w:rsidP="00C448A2">
      <w:pPr>
        <w:pStyle w:val="Bullet"/>
      </w:pPr>
      <w:r w:rsidRPr="008565C1">
        <w:t>Dr Penny Haworth</w:t>
      </w:r>
    </w:p>
    <w:p w14:paraId="40CA3247" w14:textId="77777777" w:rsidR="00C448A2" w:rsidRPr="008565C1" w:rsidRDefault="00C448A2" w:rsidP="00C448A2">
      <w:pPr>
        <w:pStyle w:val="Bullet"/>
      </w:pPr>
      <w:r w:rsidRPr="008565C1">
        <w:t>Cindy Towns</w:t>
      </w:r>
    </w:p>
    <w:p w14:paraId="14FB4155" w14:textId="300F1AA5" w:rsidR="00C448A2" w:rsidRPr="00C448A2" w:rsidRDefault="00C448A2" w:rsidP="00C448A2">
      <w:pPr>
        <w:pStyle w:val="Bullet"/>
      </w:pPr>
      <w:r w:rsidRPr="00C448A2">
        <w:t>Dr Vanessa Jordan</w:t>
      </w:r>
    </w:p>
    <w:p w14:paraId="68EDD632" w14:textId="77777777" w:rsidR="00C448A2" w:rsidRDefault="00C448A2" w:rsidP="00C448A2">
      <w:pPr>
        <w:rPr>
          <w:lang w:eastAsia="en-NZ"/>
        </w:rPr>
      </w:pPr>
    </w:p>
    <w:p w14:paraId="4EEDD229" w14:textId="49D0C3A1" w:rsidR="00C448A2" w:rsidRDefault="00C448A2" w:rsidP="00C448A2">
      <w:pPr>
        <w:rPr>
          <w:rStyle w:val="Hyperlink"/>
          <w:rFonts w:cs="Arial"/>
          <w:lang w:eastAsia="en-NZ"/>
        </w:rPr>
      </w:pPr>
      <w:r w:rsidRPr="008565C1">
        <w:rPr>
          <w:lang w:eastAsia="en-NZ"/>
        </w:rPr>
        <w:t>For more information on member</w:t>
      </w:r>
      <w:r>
        <w:rPr>
          <w:lang w:eastAsia="en-NZ"/>
        </w:rPr>
        <w:t>s,</w:t>
      </w:r>
      <w:r w:rsidRPr="008565C1">
        <w:rPr>
          <w:lang w:eastAsia="en-NZ"/>
        </w:rPr>
        <w:t xml:space="preserve"> please see</w:t>
      </w:r>
      <w:r w:rsidRPr="008565C1">
        <w:t xml:space="preserve"> </w:t>
      </w:r>
      <w:hyperlink r:id="rId22" w:history="1">
        <w:r w:rsidRPr="008565C1">
          <w:rPr>
            <w:rStyle w:val="Hyperlink"/>
            <w:rFonts w:cs="Arial"/>
            <w:lang w:eastAsia="en-NZ"/>
          </w:rPr>
          <w:t>https://neac.health.govt.nz/about-us/committee-members</w:t>
        </w:r>
      </w:hyperlink>
    </w:p>
    <w:p w14:paraId="4E7DE603" w14:textId="77777777" w:rsidR="00C448A2" w:rsidRDefault="00C448A2" w:rsidP="00C448A2"/>
    <w:p w14:paraId="742E12EF" w14:textId="06060438" w:rsidR="00C448A2" w:rsidRPr="00C448A2" w:rsidRDefault="00C448A2" w:rsidP="00C448A2">
      <w:pPr>
        <w:tabs>
          <w:tab w:val="left" w:pos="670"/>
        </w:tabs>
        <w:rPr>
          <w:rFonts w:cs="Arial"/>
        </w:rPr>
        <w:sectPr w:rsidR="00C448A2" w:rsidRPr="00C448A2" w:rsidSect="00F2467F">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20" w:footer="567" w:gutter="0"/>
          <w:pgNumType w:start="1"/>
          <w:cols w:space="360"/>
          <w:docGrid w:linePitch="360"/>
        </w:sectPr>
      </w:pPr>
      <w:r>
        <w:rPr>
          <w:rFonts w:cs="Arial"/>
        </w:rPr>
        <w:tab/>
      </w:r>
    </w:p>
    <w:p w14:paraId="4E9D9BDB" w14:textId="71EE4319" w:rsidR="00C448A2" w:rsidRDefault="00C448A2" w:rsidP="00C448A2">
      <w:pPr>
        <w:pStyle w:val="Heading1"/>
      </w:pPr>
      <w:bookmarkStart w:id="10" w:name="_Toc50491719"/>
      <w:r>
        <w:lastRenderedPageBreak/>
        <w:t>Consultation process</w:t>
      </w:r>
      <w:bookmarkEnd w:id="10"/>
    </w:p>
    <w:p w14:paraId="0F70F59B" w14:textId="77777777" w:rsidR="00C448A2" w:rsidRDefault="00C448A2" w:rsidP="00C448A2"/>
    <w:p w14:paraId="7B8AF500" w14:textId="77777777" w:rsidR="00C448A2" w:rsidRDefault="00C448A2" w:rsidP="00C448A2">
      <w:r>
        <w:t xml:space="preserve">NEAC called for public submissions on the Framework on 16 June 2020. The consultation ran for four weeks; it closed on 15 July 2020. However, NEAC accepted late submissions; the final submission was received on 29 July 2020.  </w:t>
      </w:r>
    </w:p>
    <w:p w14:paraId="1CE5FBF6" w14:textId="77777777" w:rsidR="00C448A2" w:rsidRDefault="00C448A2" w:rsidP="006F7602">
      <w:pPr>
        <w:pStyle w:val="Heading2"/>
      </w:pPr>
      <w:bookmarkStart w:id="11" w:name="_Toc50491720"/>
      <w:r>
        <w:t>Dissemination</w:t>
      </w:r>
      <w:bookmarkEnd w:id="11"/>
      <w:r>
        <w:t xml:space="preserve"> </w:t>
      </w:r>
    </w:p>
    <w:p w14:paraId="17DCCE3B" w14:textId="0C1E1980" w:rsidR="00C448A2" w:rsidRDefault="00C448A2" w:rsidP="00C448A2">
      <w:r>
        <w:t xml:space="preserve">The consultation document was available online on the Ministry of Health website and NEAC’s website. The document was tweeted by the Ministry of Health and shared on LinkedIn by members of the Ministry of Health Ethics team. The document, and a link to the online consultation form, was emailed to an initial list of 75 email addresses. The email requested that recipients forward the consultation </w:t>
      </w:r>
      <w:proofErr w:type="gramStart"/>
      <w:r>
        <w:t>widely, and</w:t>
      </w:r>
      <w:proofErr w:type="gramEnd"/>
      <w:r>
        <w:t xml:space="preserve"> provided a list of target stakeholders. The email list was generated from suggestions from NEAC and the Ministry of Health Secretariat. During the consultation the email was also sent out on an ad hoc basis, as NEAC took suggestions for interested stakeholders from those responding. </w:t>
      </w:r>
    </w:p>
    <w:p w14:paraId="79C4F194" w14:textId="77777777" w:rsidR="006F7602" w:rsidRDefault="006F7602" w:rsidP="00C448A2"/>
    <w:p w14:paraId="7E89412E" w14:textId="72968F9F" w:rsidR="006F7602" w:rsidRDefault="00C448A2" w:rsidP="00C448A2">
      <w:r>
        <w:t xml:space="preserve">Some submitters who had a strong interest in the consultation provided feedback that they had not been directly contacted to participate. In response, NEAC notes that it will make use of the submitters who responded as a baseline for future consultations and will take steps to build its stakeholder engagement contact list. </w:t>
      </w:r>
    </w:p>
    <w:p w14:paraId="1668A287" w14:textId="77777777" w:rsidR="00C448A2" w:rsidRDefault="00C448A2" w:rsidP="006F7602">
      <w:pPr>
        <w:pStyle w:val="Heading2"/>
      </w:pPr>
      <w:bookmarkStart w:id="12" w:name="_Toc50491721"/>
      <w:r>
        <w:t>Consultation design</w:t>
      </w:r>
      <w:bookmarkEnd w:id="12"/>
    </w:p>
    <w:p w14:paraId="472FCE10" w14:textId="77777777" w:rsidR="00C448A2" w:rsidRDefault="00C448A2" w:rsidP="00C448A2">
      <w:r>
        <w:t>The consultation was designed using Citizen Space, an online consultation tool. Submitters also used Citizen Space to make their submission.</w:t>
      </w:r>
    </w:p>
    <w:p w14:paraId="10011E6C" w14:textId="77777777" w:rsidR="00C448A2" w:rsidRDefault="00C448A2" w:rsidP="00C448A2">
      <w:r>
        <w:t>The consultation asked submitters:</w:t>
      </w:r>
    </w:p>
    <w:p w14:paraId="15F8CA36" w14:textId="72E08675" w:rsidR="00C448A2" w:rsidRDefault="00C448A2" w:rsidP="00F2467F">
      <w:pPr>
        <w:pStyle w:val="ListParagraph"/>
        <w:numPr>
          <w:ilvl w:val="0"/>
          <w:numId w:val="7"/>
        </w:numPr>
        <w:spacing w:before="80" w:after="80"/>
        <w:ind w:left="567" w:hanging="567"/>
        <w:contextualSpacing w:val="0"/>
      </w:pPr>
      <w:r>
        <w:t>whether the Framework captures the ethical tensions involved in resource allocation in times of scarcity</w:t>
      </w:r>
    </w:p>
    <w:p w14:paraId="04723D35" w14:textId="4B335802" w:rsidR="00C448A2" w:rsidRDefault="00C448A2" w:rsidP="00F2467F">
      <w:pPr>
        <w:pStyle w:val="ListParagraph"/>
        <w:numPr>
          <w:ilvl w:val="0"/>
          <w:numId w:val="7"/>
        </w:numPr>
        <w:spacing w:before="80" w:after="80"/>
        <w:ind w:left="567" w:hanging="567"/>
        <w:contextualSpacing w:val="0"/>
      </w:pPr>
      <w:r>
        <w:t>whether the Framework helps decision-makers understand the ethical implications of making decisions</w:t>
      </w:r>
    </w:p>
    <w:p w14:paraId="2DA2C796" w14:textId="1C29FB79" w:rsidR="00C448A2" w:rsidRDefault="00C448A2" w:rsidP="00F2467F">
      <w:pPr>
        <w:pStyle w:val="ListParagraph"/>
        <w:numPr>
          <w:ilvl w:val="0"/>
          <w:numId w:val="7"/>
        </w:numPr>
        <w:spacing w:before="80" w:after="80"/>
        <w:ind w:left="567" w:hanging="567"/>
        <w:contextualSpacing w:val="0"/>
      </w:pPr>
      <w:r>
        <w:t>whether the Framework helps decision-makers consider equity when responding to COVID-19</w:t>
      </w:r>
    </w:p>
    <w:p w14:paraId="58CF9B35" w14:textId="47CEF8A1" w:rsidR="00C448A2" w:rsidRDefault="00C448A2" w:rsidP="00F2467F">
      <w:pPr>
        <w:pStyle w:val="ListParagraph"/>
        <w:numPr>
          <w:ilvl w:val="0"/>
          <w:numId w:val="7"/>
        </w:numPr>
        <w:spacing w:before="80" w:after="80"/>
        <w:ind w:left="567" w:hanging="567"/>
        <w:contextualSpacing w:val="0"/>
      </w:pPr>
      <w:r>
        <w:t xml:space="preserve">what they thought about the </w:t>
      </w:r>
      <w:proofErr w:type="spellStart"/>
      <w:r>
        <w:t>Te</w:t>
      </w:r>
      <w:proofErr w:type="spellEnd"/>
      <w:r>
        <w:t xml:space="preserve"> </w:t>
      </w:r>
      <w:proofErr w:type="spellStart"/>
      <w:r>
        <w:t>Tiriti</w:t>
      </w:r>
      <w:proofErr w:type="spellEnd"/>
      <w:r>
        <w:t xml:space="preserve"> principles and their application to resource allocation decisions</w:t>
      </w:r>
    </w:p>
    <w:p w14:paraId="2F8238AA" w14:textId="2E73A5A6" w:rsidR="00C448A2" w:rsidRDefault="00C448A2" w:rsidP="00F2467F">
      <w:pPr>
        <w:pStyle w:val="ListParagraph"/>
        <w:numPr>
          <w:ilvl w:val="0"/>
          <w:numId w:val="7"/>
        </w:numPr>
        <w:spacing w:before="80" w:after="80"/>
        <w:ind w:left="567" w:hanging="567"/>
        <w:contextualSpacing w:val="0"/>
      </w:pPr>
      <w:r>
        <w:t>to specify any further comments they had, and suggested changes for NEAC to consider for the final draft</w:t>
      </w:r>
    </w:p>
    <w:p w14:paraId="31C4A7A0" w14:textId="18EB04F0" w:rsidR="00C448A2" w:rsidRDefault="00C448A2" w:rsidP="00F2467F">
      <w:pPr>
        <w:pStyle w:val="ListParagraph"/>
        <w:numPr>
          <w:ilvl w:val="0"/>
          <w:numId w:val="7"/>
        </w:numPr>
        <w:spacing w:before="80" w:after="80"/>
        <w:ind w:left="567" w:hanging="567"/>
        <w:contextualSpacing w:val="0"/>
      </w:pPr>
      <w:r>
        <w:t xml:space="preserve">the ethical issues or areas of work submitters thought should be covered in a substantial review of </w:t>
      </w:r>
      <w:r w:rsidRPr="006F7602">
        <w:rPr>
          <w:i/>
        </w:rPr>
        <w:t>Getting Through Together</w:t>
      </w:r>
      <w:r>
        <w:t>.</w:t>
      </w:r>
    </w:p>
    <w:p w14:paraId="605F851B" w14:textId="77777777" w:rsidR="00C448A2" w:rsidRDefault="00C448A2" w:rsidP="00C448A2">
      <w:r>
        <w:lastRenderedPageBreak/>
        <w:t>Submitters were asked to respond using Likert scales for questions 1–3. The Secretariat contacted those submitters who did not respond using Citizen Space by email to seek their submission. NEAC also received some submissions through the post (see ‘Number of submissions’ below).</w:t>
      </w:r>
    </w:p>
    <w:p w14:paraId="616282D7" w14:textId="77777777" w:rsidR="00C448A2" w:rsidRDefault="00C448A2" w:rsidP="006F7602">
      <w:pPr>
        <w:pStyle w:val="Heading2"/>
      </w:pPr>
      <w:bookmarkStart w:id="13" w:name="_Toc50491722"/>
      <w:r>
        <w:t>Public meetings</w:t>
      </w:r>
      <w:bookmarkEnd w:id="13"/>
    </w:p>
    <w:p w14:paraId="1B425F0E" w14:textId="77777777" w:rsidR="00C448A2" w:rsidRDefault="00C448A2" w:rsidP="00C448A2"/>
    <w:p w14:paraId="5C45539B" w14:textId="77777777" w:rsidR="00C448A2" w:rsidRDefault="00C448A2" w:rsidP="00C448A2">
      <w:r>
        <w:t xml:space="preserve">There were no public meetings held for this consultation, due to COVID-19. All submitters were offered Zoom meetings with NEAC and or the Secretariat. </w:t>
      </w:r>
    </w:p>
    <w:p w14:paraId="6AA55200" w14:textId="77777777" w:rsidR="00C448A2" w:rsidRDefault="00C448A2" w:rsidP="006F7602">
      <w:pPr>
        <w:pStyle w:val="Heading2"/>
      </w:pPr>
      <w:bookmarkStart w:id="14" w:name="_Toc50491723"/>
      <w:r>
        <w:t>Consultation meetings</w:t>
      </w:r>
      <w:bookmarkEnd w:id="14"/>
    </w:p>
    <w:p w14:paraId="6347AB08" w14:textId="77777777" w:rsidR="00C448A2" w:rsidRDefault="00C448A2" w:rsidP="00C448A2"/>
    <w:p w14:paraId="4F79345D" w14:textId="77777777" w:rsidR="00C448A2" w:rsidRDefault="00C448A2" w:rsidP="00C448A2">
      <w:r>
        <w:t xml:space="preserve">NEAC held five consultation meetings with submitter groups as follows: </w:t>
      </w:r>
    </w:p>
    <w:p w14:paraId="77DAA12F" w14:textId="0D0A28CD" w:rsidR="00C448A2" w:rsidRPr="006F7602" w:rsidRDefault="00C448A2" w:rsidP="00F2467F">
      <w:pPr>
        <w:pStyle w:val="ListParagraph"/>
        <w:numPr>
          <w:ilvl w:val="0"/>
          <w:numId w:val="8"/>
        </w:numPr>
        <w:spacing w:before="80" w:after="80"/>
        <w:ind w:left="567" w:hanging="567"/>
        <w:contextualSpacing w:val="0"/>
      </w:pPr>
      <w:r w:rsidRPr="006F7602">
        <w:t xml:space="preserve">Capital &amp; Coast District Health Board (DHB) intensive care unit and palliative care clinicians </w:t>
      </w:r>
    </w:p>
    <w:p w14:paraId="19667A45" w14:textId="35062C4D" w:rsidR="00C448A2" w:rsidRPr="006F7602" w:rsidRDefault="00C448A2" w:rsidP="00F2467F">
      <w:pPr>
        <w:pStyle w:val="ListParagraph"/>
        <w:numPr>
          <w:ilvl w:val="0"/>
          <w:numId w:val="8"/>
        </w:numPr>
        <w:spacing w:before="80" w:after="80"/>
        <w:ind w:left="567" w:hanging="567"/>
        <w:contextualSpacing w:val="0"/>
      </w:pPr>
      <w:r w:rsidRPr="006F7602">
        <w:t xml:space="preserve">Waitemata DHB Clinical Ethics Advisory Group </w:t>
      </w:r>
    </w:p>
    <w:p w14:paraId="0B6D55A7" w14:textId="48DE4F67" w:rsidR="00C448A2" w:rsidRPr="006F7602" w:rsidRDefault="00C448A2" w:rsidP="00F2467F">
      <w:pPr>
        <w:pStyle w:val="ListParagraph"/>
        <w:numPr>
          <w:ilvl w:val="0"/>
          <w:numId w:val="8"/>
        </w:numPr>
        <w:spacing w:before="80" w:after="80"/>
        <w:ind w:left="567" w:hanging="567"/>
        <w:contextualSpacing w:val="0"/>
      </w:pPr>
      <w:r w:rsidRPr="006F7602">
        <w:t>Rare disorders NZ</w:t>
      </w:r>
    </w:p>
    <w:p w14:paraId="7C7B9E10" w14:textId="1398FC8F" w:rsidR="00C448A2" w:rsidRPr="006F7602" w:rsidRDefault="00C448A2" w:rsidP="00F2467F">
      <w:pPr>
        <w:pStyle w:val="ListParagraph"/>
        <w:numPr>
          <w:ilvl w:val="0"/>
          <w:numId w:val="8"/>
        </w:numPr>
        <w:spacing w:before="80" w:after="80"/>
        <w:ind w:left="567" w:hanging="567"/>
        <w:contextualSpacing w:val="0"/>
      </w:pPr>
      <w:r w:rsidRPr="006F7602">
        <w:t>Capital &amp; Coast DHB Clinical Ethics Advisory Group</w:t>
      </w:r>
    </w:p>
    <w:p w14:paraId="7C917313" w14:textId="56921E67" w:rsidR="00C448A2" w:rsidRPr="006F7602" w:rsidRDefault="00C448A2" w:rsidP="00F2467F">
      <w:pPr>
        <w:pStyle w:val="ListParagraph"/>
        <w:numPr>
          <w:ilvl w:val="0"/>
          <w:numId w:val="8"/>
        </w:numPr>
        <w:spacing w:before="80" w:after="80"/>
        <w:ind w:left="567" w:hanging="567"/>
        <w:contextualSpacing w:val="0"/>
        <w:sectPr w:rsidR="00C448A2" w:rsidRPr="006F7602" w:rsidSect="00F2467F">
          <w:pgSz w:w="11906" w:h="16838" w:code="9"/>
          <w:pgMar w:top="1440" w:right="1440" w:bottom="1440" w:left="1440" w:header="720" w:footer="720" w:gutter="0"/>
          <w:cols w:space="360"/>
          <w:docGrid w:linePitch="360"/>
        </w:sectPr>
      </w:pPr>
      <w:proofErr w:type="spellStart"/>
      <w:r w:rsidRPr="006F7602">
        <w:t>Te</w:t>
      </w:r>
      <w:proofErr w:type="spellEnd"/>
      <w:r w:rsidRPr="006F7602">
        <w:t xml:space="preserve"> </w:t>
      </w:r>
      <w:proofErr w:type="spellStart"/>
      <w:r w:rsidRPr="006F7602">
        <w:t>Rōpū</w:t>
      </w:r>
      <w:proofErr w:type="spellEnd"/>
      <w:r w:rsidRPr="006F7602">
        <w:t xml:space="preserve"> </w:t>
      </w:r>
      <w:proofErr w:type="spellStart"/>
      <w:r w:rsidRPr="006F7602">
        <w:t>Whakakaupapa</w:t>
      </w:r>
      <w:proofErr w:type="spellEnd"/>
      <w:r w:rsidRPr="006F7602">
        <w:t xml:space="preserve"> </w:t>
      </w:r>
      <w:proofErr w:type="spellStart"/>
      <w:r w:rsidRPr="006F7602">
        <w:t>Urutā</w:t>
      </w:r>
      <w:proofErr w:type="spellEnd"/>
      <w:r w:rsidRPr="006F7602">
        <w:t xml:space="preserve"> (the national Māori pandemic group).</w:t>
      </w:r>
    </w:p>
    <w:p w14:paraId="6A54B020" w14:textId="05C646C0" w:rsidR="006F7602" w:rsidRDefault="006F7602" w:rsidP="006F7602">
      <w:pPr>
        <w:pStyle w:val="Heading1"/>
      </w:pPr>
      <w:bookmarkStart w:id="15" w:name="_Toc50491724"/>
      <w:bookmarkStart w:id="16" w:name="_Toc34397257"/>
      <w:bookmarkEnd w:id="5"/>
      <w:r w:rsidRPr="006F7602">
        <w:lastRenderedPageBreak/>
        <w:t>Profile of submissions</w:t>
      </w:r>
      <w:bookmarkEnd w:id="15"/>
    </w:p>
    <w:p w14:paraId="5A04C983" w14:textId="77777777" w:rsidR="006F7602" w:rsidRDefault="006F7602" w:rsidP="006F7602">
      <w:pPr>
        <w:pStyle w:val="Heading2"/>
      </w:pPr>
      <w:bookmarkStart w:id="17" w:name="_Toc50491725"/>
      <w:r w:rsidRPr="006F7602">
        <w:t>Number of submissions</w:t>
      </w:r>
      <w:bookmarkEnd w:id="17"/>
    </w:p>
    <w:p w14:paraId="4C88584F" w14:textId="7D883904" w:rsidR="006F7602" w:rsidRDefault="006F7602" w:rsidP="006F7602">
      <w:r w:rsidRPr="006F7602">
        <w:t xml:space="preserve">A total of </w:t>
      </w:r>
      <w:r w:rsidR="00A52B71">
        <w:t>34</w:t>
      </w:r>
      <w:r w:rsidRPr="006F7602">
        <w:t xml:space="preserve"> submissions were received</w:t>
      </w:r>
      <w:r w:rsidR="00162F17">
        <w:t xml:space="preserve"> </w:t>
      </w:r>
      <w:r w:rsidR="005F5E6A">
        <w:t xml:space="preserve">using email, post and </w:t>
      </w:r>
      <w:r w:rsidRPr="006F7602">
        <w:t>the Citizen Space tool</w:t>
      </w:r>
      <w:r w:rsidR="005F5E6A">
        <w:t xml:space="preserve">. Five submitters opted not to have their submissions published and publicly disseminated. </w:t>
      </w:r>
    </w:p>
    <w:p w14:paraId="7BFC4E4F" w14:textId="77777777" w:rsidR="006F7602" w:rsidRDefault="006F7602" w:rsidP="006F7602">
      <w:pPr>
        <w:pStyle w:val="Heading2"/>
      </w:pPr>
      <w:bookmarkStart w:id="18" w:name="_Toc50491726"/>
      <w:r w:rsidRPr="006F7602">
        <w:t>Categories of respondent</w:t>
      </w:r>
      <w:bookmarkEnd w:id="18"/>
    </w:p>
    <w:p w14:paraId="72103E07" w14:textId="74287CA3" w:rsidR="006F7602" w:rsidRDefault="006F7602" w:rsidP="006F7602">
      <w:r w:rsidRPr="006F7602">
        <w:t>Basic details of submitters are set out below.</w:t>
      </w:r>
    </w:p>
    <w:p w14:paraId="50428136" w14:textId="2263C22C" w:rsidR="006F7602" w:rsidRDefault="006F7602" w:rsidP="006F7602"/>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1"/>
        <w:gridCol w:w="4446"/>
        <w:gridCol w:w="2692"/>
      </w:tblGrid>
      <w:tr w:rsidR="006F7602" w14:paraId="5D81427F" w14:textId="77777777" w:rsidTr="006F7602">
        <w:trPr>
          <w:tblHeader/>
        </w:trPr>
        <w:tc>
          <w:tcPr>
            <w:tcW w:w="941" w:type="dxa"/>
            <w:shd w:val="clear" w:color="auto" w:fill="D9D9D9" w:themeFill="background1" w:themeFillShade="D9"/>
            <w:vAlign w:val="center"/>
          </w:tcPr>
          <w:p w14:paraId="57903342" w14:textId="0D8264F5" w:rsidR="006F7602" w:rsidRPr="006F7602" w:rsidRDefault="006F7602" w:rsidP="006F7602">
            <w:pPr>
              <w:pStyle w:val="TableText"/>
              <w:rPr>
                <w:b/>
              </w:rPr>
            </w:pPr>
            <w:r w:rsidRPr="006F7602">
              <w:rPr>
                <w:b/>
              </w:rPr>
              <w:t>Consult number</w:t>
            </w:r>
          </w:p>
        </w:tc>
        <w:tc>
          <w:tcPr>
            <w:tcW w:w="4446" w:type="dxa"/>
            <w:shd w:val="clear" w:color="auto" w:fill="D9D9D9" w:themeFill="background1" w:themeFillShade="D9"/>
            <w:vAlign w:val="center"/>
          </w:tcPr>
          <w:p w14:paraId="520B5646" w14:textId="3B64C00C" w:rsidR="006F7602" w:rsidRPr="006F7602" w:rsidRDefault="006F7602" w:rsidP="006F7602">
            <w:pPr>
              <w:pStyle w:val="TableText"/>
              <w:rPr>
                <w:b/>
              </w:rPr>
            </w:pPr>
            <w:r w:rsidRPr="006F7602">
              <w:rPr>
                <w:b/>
              </w:rPr>
              <w:t>Organisation/individual</w:t>
            </w:r>
          </w:p>
        </w:tc>
        <w:tc>
          <w:tcPr>
            <w:tcW w:w="2692" w:type="dxa"/>
            <w:shd w:val="clear" w:color="auto" w:fill="D9D9D9" w:themeFill="background1" w:themeFillShade="D9"/>
            <w:vAlign w:val="center"/>
          </w:tcPr>
          <w:p w14:paraId="17F99978" w14:textId="43743A7D" w:rsidR="006F7602" w:rsidRPr="006F7602" w:rsidRDefault="006F7602" w:rsidP="006F7602">
            <w:pPr>
              <w:pStyle w:val="TableText"/>
              <w:rPr>
                <w:b/>
              </w:rPr>
            </w:pPr>
            <w:r w:rsidRPr="006F7602">
              <w:rPr>
                <w:b/>
              </w:rPr>
              <w:t>Category</w:t>
            </w:r>
          </w:p>
        </w:tc>
      </w:tr>
      <w:tr w:rsidR="006F7602" w14:paraId="294E74A5" w14:textId="77777777" w:rsidTr="006F7602">
        <w:tc>
          <w:tcPr>
            <w:tcW w:w="941" w:type="dxa"/>
          </w:tcPr>
          <w:p w14:paraId="42E0DAED" w14:textId="47A2E2E5" w:rsidR="006F7602" w:rsidRDefault="006F7602" w:rsidP="006F7602">
            <w:pPr>
              <w:pStyle w:val="TableText"/>
            </w:pPr>
            <w:r>
              <w:t>1</w:t>
            </w:r>
          </w:p>
        </w:tc>
        <w:tc>
          <w:tcPr>
            <w:tcW w:w="4446" w:type="dxa"/>
          </w:tcPr>
          <w:p w14:paraId="473B994D" w14:textId="5A7F5E9A" w:rsidR="006F7602" w:rsidRDefault="006F7602" w:rsidP="006F7602">
            <w:pPr>
              <w:pStyle w:val="TableText"/>
            </w:pPr>
            <w:r w:rsidRPr="003C34EB">
              <w:t>Consultant haematologist – Wellington Blood and Cancer Centre</w:t>
            </w:r>
          </w:p>
        </w:tc>
        <w:tc>
          <w:tcPr>
            <w:tcW w:w="2692" w:type="dxa"/>
          </w:tcPr>
          <w:p w14:paraId="54750BB1" w14:textId="2DA51268" w:rsidR="006F7602" w:rsidRDefault="006F7602" w:rsidP="006F7602">
            <w:pPr>
              <w:pStyle w:val="TableText"/>
            </w:pPr>
            <w:r w:rsidRPr="00236568">
              <w:t>Clinical</w:t>
            </w:r>
          </w:p>
        </w:tc>
      </w:tr>
      <w:tr w:rsidR="006F7602" w14:paraId="2668EA11" w14:textId="77777777" w:rsidTr="006F7602">
        <w:tc>
          <w:tcPr>
            <w:tcW w:w="941" w:type="dxa"/>
          </w:tcPr>
          <w:p w14:paraId="41DDB4A2" w14:textId="4EE741BC" w:rsidR="006F7602" w:rsidRDefault="006F7602" w:rsidP="006F7602">
            <w:pPr>
              <w:pStyle w:val="TableText"/>
            </w:pPr>
            <w:r>
              <w:t>2</w:t>
            </w:r>
          </w:p>
        </w:tc>
        <w:tc>
          <w:tcPr>
            <w:tcW w:w="4446" w:type="dxa"/>
          </w:tcPr>
          <w:p w14:paraId="71678AC2" w14:textId="635D22B1" w:rsidR="006F7602" w:rsidRDefault="006F7602" w:rsidP="006F7602">
            <w:pPr>
              <w:pStyle w:val="TableText"/>
            </w:pPr>
            <w:r w:rsidRPr="003C34EB">
              <w:t>Royal Australian and New Zealand College of Obstetricians and Gynaecologists</w:t>
            </w:r>
          </w:p>
        </w:tc>
        <w:tc>
          <w:tcPr>
            <w:tcW w:w="2692" w:type="dxa"/>
          </w:tcPr>
          <w:p w14:paraId="2C432180" w14:textId="30BFF6D9" w:rsidR="006F7602" w:rsidRDefault="006F7602" w:rsidP="006F7602">
            <w:pPr>
              <w:pStyle w:val="TableText"/>
            </w:pPr>
            <w:r w:rsidRPr="00236568">
              <w:t>Clinical</w:t>
            </w:r>
          </w:p>
        </w:tc>
      </w:tr>
      <w:tr w:rsidR="006F7602" w14:paraId="4EE57169" w14:textId="77777777" w:rsidTr="006F7602">
        <w:tc>
          <w:tcPr>
            <w:tcW w:w="941" w:type="dxa"/>
          </w:tcPr>
          <w:p w14:paraId="21E85B5B" w14:textId="18D19B45" w:rsidR="006F7602" w:rsidRDefault="006F7602" w:rsidP="006F7602">
            <w:pPr>
              <w:pStyle w:val="TableText"/>
            </w:pPr>
            <w:r>
              <w:t>3</w:t>
            </w:r>
          </w:p>
        </w:tc>
        <w:tc>
          <w:tcPr>
            <w:tcW w:w="4446" w:type="dxa"/>
          </w:tcPr>
          <w:p w14:paraId="6A0568FB" w14:textId="0708DDF6" w:rsidR="006F7602" w:rsidRDefault="006F7602" w:rsidP="006F7602">
            <w:pPr>
              <w:pStyle w:val="TableText"/>
            </w:pPr>
            <w:r w:rsidRPr="003C34EB">
              <w:t>Capital &amp; Coast DHB Clinical Ethics Committee</w:t>
            </w:r>
          </w:p>
        </w:tc>
        <w:tc>
          <w:tcPr>
            <w:tcW w:w="2692" w:type="dxa"/>
          </w:tcPr>
          <w:p w14:paraId="6C99447D" w14:textId="4F6DBF38" w:rsidR="006F7602" w:rsidRDefault="006F7602" w:rsidP="006F7602">
            <w:pPr>
              <w:pStyle w:val="TableText"/>
            </w:pPr>
            <w:r w:rsidRPr="00236568">
              <w:t>Clinical/ethics</w:t>
            </w:r>
          </w:p>
        </w:tc>
      </w:tr>
      <w:tr w:rsidR="006F7602" w14:paraId="760D19EE" w14:textId="77777777" w:rsidTr="006F7602">
        <w:tc>
          <w:tcPr>
            <w:tcW w:w="941" w:type="dxa"/>
          </w:tcPr>
          <w:p w14:paraId="533CA8AD" w14:textId="3C3E74F7" w:rsidR="006F7602" w:rsidRDefault="006F7602" w:rsidP="006F7602">
            <w:pPr>
              <w:pStyle w:val="TableText"/>
            </w:pPr>
            <w:r>
              <w:t>4</w:t>
            </w:r>
          </w:p>
        </w:tc>
        <w:tc>
          <w:tcPr>
            <w:tcW w:w="4446" w:type="dxa"/>
          </w:tcPr>
          <w:p w14:paraId="591FE564" w14:textId="7A37CAEE" w:rsidR="006F7602" w:rsidRDefault="006F7602" w:rsidP="006F7602">
            <w:pPr>
              <w:pStyle w:val="TableText"/>
            </w:pPr>
            <w:r w:rsidRPr="003C34EB">
              <w:t>IHC</w:t>
            </w:r>
          </w:p>
        </w:tc>
        <w:tc>
          <w:tcPr>
            <w:tcW w:w="2692" w:type="dxa"/>
          </w:tcPr>
          <w:p w14:paraId="37B0006D" w14:textId="404D9FC2" w:rsidR="006F7602" w:rsidRDefault="006F7602" w:rsidP="006F7602">
            <w:pPr>
              <w:pStyle w:val="TableText"/>
            </w:pPr>
            <w:r w:rsidRPr="00236568">
              <w:t>Disability/consumer</w:t>
            </w:r>
          </w:p>
        </w:tc>
      </w:tr>
      <w:tr w:rsidR="006F7602" w14:paraId="7525EFFE" w14:textId="77777777" w:rsidTr="006F7602">
        <w:tc>
          <w:tcPr>
            <w:tcW w:w="941" w:type="dxa"/>
          </w:tcPr>
          <w:p w14:paraId="6FA8B279" w14:textId="431A0BD6" w:rsidR="006F7602" w:rsidRDefault="006F7602" w:rsidP="006F7602">
            <w:pPr>
              <w:pStyle w:val="TableText"/>
            </w:pPr>
            <w:r>
              <w:t>5</w:t>
            </w:r>
          </w:p>
        </w:tc>
        <w:tc>
          <w:tcPr>
            <w:tcW w:w="4446" w:type="dxa"/>
          </w:tcPr>
          <w:p w14:paraId="297264A8" w14:textId="77777777" w:rsidR="006F7602" w:rsidRPr="006F7602" w:rsidRDefault="006F7602" w:rsidP="006F7602">
            <w:pPr>
              <w:pStyle w:val="TableText"/>
            </w:pPr>
            <w:r w:rsidRPr="006F7602">
              <w:t>Asian, Migrants and former refugees of the Planning and Funding, Waitemata and Auckland DHBs</w:t>
            </w:r>
          </w:p>
          <w:p w14:paraId="35D3C544" w14:textId="2CD82014" w:rsidR="006F7602" w:rsidRPr="006F7602" w:rsidRDefault="006F7602" w:rsidP="006F7602">
            <w:pPr>
              <w:pStyle w:val="TableText"/>
            </w:pPr>
            <w:r w:rsidRPr="006F7602">
              <w:t xml:space="preserve">Asian Support Services of Waitemata DHB </w:t>
            </w:r>
          </w:p>
        </w:tc>
        <w:tc>
          <w:tcPr>
            <w:tcW w:w="2692" w:type="dxa"/>
          </w:tcPr>
          <w:p w14:paraId="18439E8B" w14:textId="7CF6BC33" w:rsidR="006F7602" w:rsidRDefault="006F7602" w:rsidP="006F7602">
            <w:pPr>
              <w:pStyle w:val="TableText"/>
            </w:pPr>
            <w:r w:rsidRPr="00236568">
              <w:t>Consumer</w:t>
            </w:r>
          </w:p>
        </w:tc>
      </w:tr>
      <w:tr w:rsidR="006F7602" w14:paraId="3BE7E6D6" w14:textId="77777777" w:rsidTr="006F7602">
        <w:tc>
          <w:tcPr>
            <w:tcW w:w="941" w:type="dxa"/>
          </w:tcPr>
          <w:p w14:paraId="4B74D7A3" w14:textId="5944DDFE" w:rsidR="006F7602" w:rsidRDefault="006F7602" w:rsidP="006F7602">
            <w:pPr>
              <w:pStyle w:val="TableText"/>
            </w:pPr>
            <w:r>
              <w:t>6</w:t>
            </w:r>
          </w:p>
        </w:tc>
        <w:tc>
          <w:tcPr>
            <w:tcW w:w="4446" w:type="dxa"/>
            <w:vAlign w:val="center"/>
          </w:tcPr>
          <w:p w14:paraId="5C816580" w14:textId="0AC476CB" w:rsidR="006F7602" w:rsidRDefault="006F7602" w:rsidP="006F7602">
            <w:pPr>
              <w:pStyle w:val="TableText"/>
            </w:pPr>
            <w:r w:rsidRPr="006F7602">
              <w:t xml:space="preserve">Rare Disorders NZ </w:t>
            </w:r>
          </w:p>
        </w:tc>
        <w:tc>
          <w:tcPr>
            <w:tcW w:w="2692" w:type="dxa"/>
          </w:tcPr>
          <w:p w14:paraId="6B1FBECE" w14:textId="209EF1DB" w:rsidR="006F7602" w:rsidRDefault="006F7602" w:rsidP="006F7602">
            <w:pPr>
              <w:pStyle w:val="TableText"/>
            </w:pPr>
            <w:r w:rsidRPr="00236568">
              <w:t>Consumer</w:t>
            </w:r>
          </w:p>
        </w:tc>
      </w:tr>
      <w:tr w:rsidR="006F7602" w14:paraId="0E6DD300" w14:textId="77777777" w:rsidTr="006F7602">
        <w:tc>
          <w:tcPr>
            <w:tcW w:w="941" w:type="dxa"/>
          </w:tcPr>
          <w:p w14:paraId="4A8F7F47" w14:textId="42053D87" w:rsidR="006F7602" w:rsidRDefault="006F7602" w:rsidP="006F7602">
            <w:pPr>
              <w:pStyle w:val="TableText"/>
            </w:pPr>
            <w:r>
              <w:t>7</w:t>
            </w:r>
          </w:p>
        </w:tc>
        <w:tc>
          <w:tcPr>
            <w:tcW w:w="4446" w:type="dxa"/>
            <w:vAlign w:val="center"/>
          </w:tcPr>
          <w:p w14:paraId="7E1290F8" w14:textId="69DAC3D3" w:rsidR="006F7602" w:rsidRDefault="006F7602" w:rsidP="006F7602">
            <w:pPr>
              <w:pStyle w:val="TableText"/>
            </w:pPr>
            <w:proofErr w:type="spellStart"/>
            <w:r w:rsidRPr="00134C1B">
              <w:rPr>
                <w:rFonts w:cs="Arial"/>
                <w:color w:val="000000"/>
                <w:lang w:eastAsia="en-NZ"/>
              </w:rPr>
              <w:t>Alzheimers</w:t>
            </w:r>
            <w:proofErr w:type="spellEnd"/>
            <w:r w:rsidRPr="00134C1B">
              <w:rPr>
                <w:rFonts w:cs="Arial"/>
                <w:color w:val="000000"/>
                <w:lang w:eastAsia="en-NZ"/>
              </w:rPr>
              <w:t xml:space="preserve"> New Zealand</w:t>
            </w:r>
          </w:p>
        </w:tc>
        <w:tc>
          <w:tcPr>
            <w:tcW w:w="2692" w:type="dxa"/>
          </w:tcPr>
          <w:p w14:paraId="2950738E" w14:textId="0CB125D2" w:rsidR="006F7602" w:rsidRDefault="006F7602" w:rsidP="006F7602">
            <w:pPr>
              <w:pStyle w:val="TableText"/>
            </w:pPr>
            <w:r w:rsidRPr="00236568">
              <w:t>Consumer</w:t>
            </w:r>
          </w:p>
        </w:tc>
      </w:tr>
      <w:tr w:rsidR="006F7602" w14:paraId="38071A64" w14:textId="77777777" w:rsidTr="006F7602">
        <w:tc>
          <w:tcPr>
            <w:tcW w:w="941" w:type="dxa"/>
          </w:tcPr>
          <w:p w14:paraId="4D8C23AF" w14:textId="5E163F3B" w:rsidR="006F7602" w:rsidRDefault="006F7602" w:rsidP="006F7602">
            <w:pPr>
              <w:pStyle w:val="TableText"/>
            </w:pPr>
            <w:r>
              <w:t>8</w:t>
            </w:r>
          </w:p>
        </w:tc>
        <w:tc>
          <w:tcPr>
            <w:tcW w:w="4446" w:type="dxa"/>
            <w:vAlign w:val="center"/>
          </w:tcPr>
          <w:p w14:paraId="1441BF40" w14:textId="33D67826" w:rsidR="006F7602" w:rsidRDefault="006F7602" w:rsidP="006F7602">
            <w:pPr>
              <w:pStyle w:val="TableText"/>
            </w:pPr>
            <w:r w:rsidRPr="00134C1B">
              <w:rPr>
                <w:rFonts w:cs="Arial"/>
                <w:color w:val="000000"/>
                <w:lang w:eastAsia="en-NZ"/>
              </w:rPr>
              <w:t>New Zealand College of Midwives</w:t>
            </w:r>
          </w:p>
        </w:tc>
        <w:tc>
          <w:tcPr>
            <w:tcW w:w="2692" w:type="dxa"/>
          </w:tcPr>
          <w:p w14:paraId="3952C973" w14:textId="030492CE" w:rsidR="006F7602" w:rsidRDefault="006F7602" w:rsidP="006F7602">
            <w:pPr>
              <w:pStyle w:val="TableText"/>
            </w:pPr>
            <w:r w:rsidRPr="00236568">
              <w:t>Clinical</w:t>
            </w:r>
          </w:p>
        </w:tc>
      </w:tr>
      <w:tr w:rsidR="006F7602" w14:paraId="18B41596" w14:textId="77777777" w:rsidTr="006F7602">
        <w:tc>
          <w:tcPr>
            <w:tcW w:w="941" w:type="dxa"/>
          </w:tcPr>
          <w:p w14:paraId="038C5176" w14:textId="16849673" w:rsidR="006F7602" w:rsidRDefault="006F7602" w:rsidP="006F7602">
            <w:pPr>
              <w:pStyle w:val="TableText"/>
            </w:pPr>
            <w:r>
              <w:t>9</w:t>
            </w:r>
          </w:p>
        </w:tc>
        <w:tc>
          <w:tcPr>
            <w:tcW w:w="4446" w:type="dxa"/>
            <w:vAlign w:val="center"/>
          </w:tcPr>
          <w:p w14:paraId="391DDB42" w14:textId="40CE61A7" w:rsidR="006F7602" w:rsidRDefault="006F7602" w:rsidP="006F7602">
            <w:pPr>
              <w:pStyle w:val="TableText"/>
            </w:pPr>
            <w:r w:rsidRPr="00134C1B">
              <w:rPr>
                <w:rFonts w:cs="Arial"/>
                <w:color w:val="000000"/>
                <w:lang w:eastAsia="en-NZ"/>
              </w:rPr>
              <w:t xml:space="preserve">Individual </w:t>
            </w:r>
            <w:r>
              <w:rPr>
                <w:rFonts w:cs="Arial"/>
                <w:color w:val="000000"/>
                <w:lang w:eastAsia="en-NZ"/>
              </w:rPr>
              <w:t>–</w:t>
            </w:r>
            <w:r w:rsidRPr="00134C1B">
              <w:rPr>
                <w:rFonts w:cs="Arial"/>
                <w:color w:val="000000"/>
                <w:lang w:eastAsia="en-NZ"/>
              </w:rPr>
              <w:t xml:space="preserve"> Ministry of Health</w:t>
            </w:r>
          </w:p>
        </w:tc>
        <w:tc>
          <w:tcPr>
            <w:tcW w:w="2692" w:type="dxa"/>
          </w:tcPr>
          <w:p w14:paraId="49714014" w14:textId="61808E13" w:rsidR="006F7602" w:rsidRDefault="006F7602" w:rsidP="006F7602">
            <w:pPr>
              <w:pStyle w:val="TableText"/>
            </w:pPr>
            <w:r w:rsidRPr="00236568">
              <w:t>Public health</w:t>
            </w:r>
          </w:p>
        </w:tc>
      </w:tr>
      <w:tr w:rsidR="006F7602" w14:paraId="42CF2066" w14:textId="77777777" w:rsidTr="006F7602">
        <w:tc>
          <w:tcPr>
            <w:tcW w:w="941" w:type="dxa"/>
          </w:tcPr>
          <w:p w14:paraId="4FACD88F" w14:textId="6198A4AA" w:rsidR="006F7602" w:rsidRDefault="006F7602" w:rsidP="006F7602">
            <w:pPr>
              <w:pStyle w:val="TableText"/>
            </w:pPr>
            <w:r>
              <w:t>10</w:t>
            </w:r>
          </w:p>
        </w:tc>
        <w:tc>
          <w:tcPr>
            <w:tcW w:w="4446" w:type="dxa"/>
            <w:vAlign w:val="center"/>
          </w:tcPr>
          <w:p w14:paraId="34FCC136" w14:textId="2556D912" w:rsidR="006F7602" w:rsidRDefault="006F7602" w:rsidP="006F7602">
            <w:pPr>
              <w:pStyle w:val="TableText"/>
            </w:pPr>
            <w:proofErr w:type="spellStart"/>
            <w:r w:rsidRPr="00134C1B">
              <w:rPr>
                <w:rFonts w:cs="Arial"/>
                <w:color w:val="000000"/>
                <w:lang w:eastAsia="en-NZ"/>
              </w:rPr>
              <w:t>Leeston</w:t>
            </w:r>
            <w:proofErr w:type="spellEnd"/>
            <w:r w:rsidRPr="00134C1B">
              <w:rPr>
                <w:rFonts w:cs="Arial"/>
                <w:color w:val="000000"/>
                <w:lang w:eastAsia="en-NZ"/>
              </w:rPr>
              <w:t xml:space="preserve"> Medical Centre</w:t>
            </w:r>
          </w:p>
        </w:tc>
        <w:tc>
          <w:tcPr>
            <w:tcW w:w="2692" w:type="dxa"/>
          </w:tcPr>
          <w:p w14:paraId="5F8D1799" w14:textId="1BD75350" w:rsidR="006F7602" w:rsidRDefault="006F7602" w:rsidP="006F7602">
            <w:pPr>
              <w:pStyle w:val="TableText"/>
            </w:pPr>
            <w:r w:rsidRPr="00236568">
              <w:t>Clinical</w:t>
            </w:r>
          </w:p>
        </w:tc>
      </w:tr>
      <w:tr w:rsidR="006F7602" w14:paraId="72D225E7" w14:textId="77777777" w:rsidTr="006F7602">
        <w:tc>
          <w:tcPr>
            <w:tcW w:w="941" w:type="dxa"/>
          </w:tcPr>
          <w:p w14:paraId="1F1ABE66" w14:textId="5637AB4A" w:rsidR="006F7602" w:rsidRDefault="006F7602" w:rsidP="006F7602">
            <w:pPr>
              <w:pStyle w:val="TableText"/>
            </w:pPr>
            <w:r>
              <w:t>11</w:t>
            </w:r>
          </w:p>
        </w:tc>
        <w:tc>
          <w:tcPr>
            <w:tcW w:w="4446" w:type="dxa"/>
            <w:vAlign w:val="center"/>
          </w:tcPr>
          <w:p w14:paraId="6007249F" w14:textId="0FD25CD0" w:rsidR="006F7602" w:rsidRDefault="006F7602" w:rsidP="006F7602">
            <w:pPr>
              <w:pStyle w:val="TableText"/>
            </w:pPr>
            <w:r>
              <w:rPr>
                <w:rFonts w:cs="Arial"/>
                <w:color w:val="000000"/>
                <w:lang w:eastAsia="en-NZ"/>
              </w:rPr>
              <w:t>M</w:t>
            </w:r>
            <w:r w:rsidRPr="00134C1B">
              <w:rPr>
                <w:rFonts w:cs="Arial"/>
                <w:color w:val="000000"/>
                <w:lang w:eastAsia="en-NZ"/>
              </w:rPr>
              <w:t xml:space="preserve">ilford </w:t>
            </w:r>
            <w:r>
              <w:rPr>
                <w:rFonts w:cs="Arial"/>
                <w:color w:val="000000"/>
                <w:lang w:eastAsia="en-NZ"/>
              </w:rPr>
              <w:t>F</w:t>
            </w:r>
            <w:r w:rsidRPr="00134C1B">
              <w:rPr>
                <w:rFonts w:cs="Arial"/>
                <w:color w:val="000000"/>
                <w:lang w:eastAsia="en-NZ"/>
              </w:rPr>
              <w:t xml:space="preserve">amily </w:t>
            </w:r>
            <w:r>
              <w:rPr>
                <w:rFonts w:cs="Arial"/>
                <w:color w:val="000000"/>
                <w:lang w:eastAsia="en-NZ"/>
              </w:rPr>
              <w:t>M</w:t>
            </w:r>
            <w:r w:rsidRPr="00134C1B">
              <w:rPr>
                <w:rFonts w:cs="Arial"/>
                <w:color w:val="000000"/>
                <w:lang w:eastAsia="en-NZ"/>
              </w:rPr>
              <w:t>edical</w:t>
            </w:r>
            <w:r>
              <w:rPr>
                <w:rFonts w:cs="Arial"/>
                <w:color w:val="000000"/>
                <w:lang w:eastAsia="en-NZ"/>
              </w:rPr>
              <w:t xml:space="preserve"> Centre</w:t>
            </w:r>
          </w:p>
        </w:tc>
        <w:tc>
          <w:tcPr>
            <w:tcW w:w="2692" w:type="dxa"/>
          </w:tcPr>
          <w:p w14:paraId="0D14D23D" w14:textId="2EA3D777" w:rsidR="006F7602" w:rsidRDefault="006F7602" w:rsidP="006F7602">
            <w:pPr>
              <w:pStyle w:val="TableText"/>
            </w:pPr>
            <w:r w:rsidRPr="00236568">
              <w:t>Clinical</w:t>
            </w:r>
          </w:p>
        </w:tc>
      </w:tr>
      <w:tr w:rsidR="006F7602" w14:paraId="1F60CEC7" w14:textId="77777777" w:rsidTr="006F7602">
        <w:tc>
          <w:tcPr>
            <w:tcW w:w="941" w:type="dxa"/>
          </w:tcPr>
          <w:p w14:paraId="03051485" w14:textId="5F8EC7F7" w:rsidR="006F7602" w:rsidRDefault="006F7602" w:rsidP="006F7602">
            <w:pPr>
              <w:pStyle w:val="TableText"/>
            </w:pPr>
            <w:r>
              <w:t>12</w:t>
            </w:r>
          </w:p>
        </w:tc>
        <w:tc>
          <w:tcPr>
            <w:tcW w:w="4446" w:type="dxa"/>
            <w:vAlign w:val="center"/>
          </w:tcPr>
          <w:p w14:paraId="74F0E0B2" w14:textId="143F3FCD" w:rsidR="006F7602" w:rsidRDefault="006F7602" w:rsidP="006F7602">
            <w:pPr>
              <w:pStyle w:val="TableText"/>
            </w:pPr>
            <w:r w:rsidRPr="00134C1B">
              <w:rPr>
                <w:rFonts w:cs="Arial"/>
                <w:color w:val="000000"/>
                <w:lang w:eastAsia="en-NZ"/>
              </w:rPr>
              <w:t xml:space="preserve">Independent </w:t>
            </w:r>
            <w:r>
              <w:rPr>
                <w:rFonts w:cs="Arial"/>
                <w:color w:val="000000"/>
                <w:lang w:eastAsia="en-NZ"/>
              </w:rPr>
              <w:t>general practitioner</w:t>
            </w:r>
          </w:p>
        </w:tc>
        <w:tc>
          <w:tcPr>
            <w:tcW w:w="2692" w:type="dxa"/>
          </w:tcPr>
          <w:p w14:paraId="57E8F737" w14:textId="5E8DBAEF" w:rsidR="006F7602" w:rsidRDefault="006F7602" w:rsidP="006F7602">
            <w:pPr>
              <w:pStyle w:val="TableText"/>
            </w:pPr>
            <w:r w:rsidRPr="00236568">
              <w:t>Clinical</w:t>
            </w:r>
          </w:p>
        </w:tc>
      </w:tr>
      <w:tr w:rsidR="006F7602" w14:paraId="40857C38" w14:textId="77777777" w:rsidTr="006F7602">
        <w:tc>
          <w:tcPr>
            <w:tcW w:w="941" w:type="dxa"/>
          </w:tcPr>
          <w:p w14:paraId="5FE95AF1" w14:textId="4E2FA266" w:rsidR="006F7602" w:rsidRDefault="006F7602" w:rsidP="006F7602">
            <w:pPr>
              <w:pStyle w:val="TableText"/>
            </w:pPr>
            <w:r>
              <w:t>13</w:t>
            </w:r>
          </w:p>
        </w:tc>
        <w:tc>
          <w:tcPr>
            <w:tcW w:w="4446" w:type="dxa"/>
            <w:vAlign w:val="center"/>
          </w:tcPr>
          <w:p w14:paraId="1652C7AA" w14:textId="597F63B4" w:rsidR="006F7602" w:rsidRDefault="006F7602" w:rsidP="006F7602">
            <w:pPr>
              <w:pStyle w:val="TableText"/>
            </w:pPr>
            <w:r w:rsidRPr="00134C1B">
              <w:rPr>
                <w:rFonts w:cs="Arial"/>
                <w:color w:val="000000"/>
                <w:lang w:eastAsia="en-NZ"/>
              </w:rPr>
              <w:t xml:space="preserve">Australasian College </w:t>
            </w:r>
            <w:r>
              <w:rPr>
                <w:rFonts w:cs="Arial"/>
                <w:color w:val="000000"/>
                <w:lang w:eastAsia="en-NZ"/>
              </w:rPr>
              <w:t>f</w:t>
            </w:r>
            <w:r w:rsidRPr="00134C1B">
              <w:rPr>
                <w:rFonts w:cs="Arial"/>
                <w:color w:val="000000"/>
                <w:lang w:eastAsia="en-NZ"/>
              </w:rPr>
              <w:t>or Emergency Medicine</w:t>
            </w:r>
          </w:p>
        </w:tc>
        <w:tc>
          <w:tcPr>
            <w:tcW w:w="2692" w:type="dxa"/>
          </w:tcPr>
          <w:p w14:paraId="00C27EC2" w14:textId="7E494055" w:rsidR="006F7602" w:rsidRDefault="006F7602" w:rsidP="006F7602">
            <w:pPr>
              <w:pStyle w:val="TableText"/>
            </w:pPr>
            <w:r w:rsidRPr="00236568">
              <w:t>Clinical</w:t>
            </w:r>
          </w:p>
        </w:tc>
      </w:tr>
      <w:tr w:rsidR="006F7602" w14:paraId="594F5AAF" w14:textId="77777777" w:rsidTr="006F7602">
        <w:tc>
          <w:tcPr>
            <w:tcW w:w="941" w:type="dxa"/>
          </w:tcPr>
          <w:p w14:paraId="5BFB3C78" w14:textId="0C42FC93" w:rsidR="006F7602" w:rsidRDefault="006F7602" w:rsidP="006F7602">
            <w:pPr>
              <w:pStyle w:val="TableText"/>
            </w:pPr>
            <w:r>
              <w:t>14</w:t>
            </w:r>
          </w:p>
        </w:tc>
        <w:tc>
          <w:tcPr>
            <w:tcW w:w="4446" w:type="dxa"/>
            <w:vAlign w:val="center"/>
          </w:tcPr>
          <w:p w14:paraId="504BC1E0" w14:textId="0720CE21" w:rsidR="006F7602" w:rsidRDefault="006F7602" w:rsidP="006F7602">
            <w:pPr>
              <w:pStyle w:val="TableText"/>
            </w:pPr>
            <w:r w:rsidRPr="00134C1B">
              <w:rPr>
                <w:rFonts w:cs="Arial"/>
                <w:color w:val="000000"/>
                <w:lang w:eastAsia="en-NZ"/>
              </w:rPr>
              <w:t>Perioperative Nurses College of New Zealand</w:t>
            </w:r>
          </w:p>
        </w:tc>
        <w:tc>
          <w:tcPr>
            <w:tcW w:w="2692" w:type="dxa"/>
          </w:tcPr>
          <w:p w14:paraId="05599900" w14:textId="5B35F117" w:rsidR="006F7602" w:rsidRDefault="006F7602" w:rsidP="006F7602">
            <w:pPr>
              <w:pStyle w:val="TableText"/>
            </w:pPr>
            <w:r w:rsidRPr="00236568">
              <w:t>Clinical</w:t>
            </w:r>
          </w:p>
        </w:tc>
      </w:tr>
      <w:tr w:rsidR="006F7602" w14:paraId="7723FEF6" w14:textId="77777777" w:rsidTr="006F7602">
        <w:tc>
          <w:tcPr>
            <w:tcW w:w="941" w:type="dxa"/>
          </w:tcPr>
          <w:p w14:paraId="5456C291" w14:textId="3933DE95" w:rsidR="006F7602" w:rsidRDefault="006F7602" w:rsidP="006F7602">
            <w:pPr>
              <w:pStyle w:val="TableText"/>
            </w:pPr>
            <w:r>
              <w:t>15</w:t>
            </w:r>
          </w:p>
        </w:tc>
        <w:tc>
          <w:tcPr>
            <w:tcW w:w="4446" w:type="dxa"/>
            <w:vAlign w:val="center"/>
          </w:tcPr>
          <w:p w14:paraId="1F730A19" w14:textId="10908462" w:rsidR="006F7602" w:rsidRDefault="006F7602" w:rsidP="006F7602">
            <w:pPr>
              <w:pStyle w:val="TableText"/>
            </w:pPr>
            <w:r w:rsidRPr="00134C1B">
              <w:rPr>
                <w:rFonts w:cs="Arial"/>
                <w:color w:val="000000"/>
                <w:lang w:eastAsia="en-NZ"/>
              </w:rPr>
              <w:t>University of Otago, Christchurch</w:t>
            </w:r>
          </w:p>
        </w:tc>
        <w:tc>
          <w:tcPr>
            <w:tcW w:w="2692" w:type="dxa"/>
          </w:tcPr>
          <w:p w14:paraId="1B571742" w14:textId="3F6EF511" w:rsidR="006F7602" w:rsidRDefault="006F7602" w:rsidP="006F7602">
            <w:pPr>
              <w:pStyle w:val="TableText"/>
            </w:pPr>
            <w:r w:rsidRPr="00236568">
              <w:t>Clinical/academic</w:t>
            </w:r>
          </w:p>
        </w:tc>
      </w:tr>
      <w:tr w:rsidR="006F7602" w14:paraId="4554EDFC" w14:textId="77777777" w:rsidTr="006F7602">
        <w:tc>
          <w:tcPr>
            <w:tcW w:w="941" w:type="dxa"/>
          </w:tcPr>
          <w:p w14:paraId="04ECD3EB" w14:textId="029D9865" w:rsidR="006F7602" w:rsidRDefault="006F7602" w:rsidP="006F7602">
            <w:pPr>
              <w:pStyle w:val="TableText"/>
            </w:pPr>
            <w:r>
              <w:t>16</w:t>
            </w:r>
          </w:p>
        </w:tc>
        <w:tc>
          <w:tcPr>
            <w:tcW w:w="4446" w:type="dxa"/>
            <w:vAlign w:val="center"/>
          </w:tcPr>
          <w:p w14:paraId="0C8A8FFA" w14:textId="13336684" w:rsidR="006F7602" w:rsidRDefault="006F7602" w:rsidP="006F7602">
            <w:pPr>
              <w:pStyle w:val="TableText"/>
            </w:pPr>
            <w:r w:rsidRPr="00134C1B">
              <w:rPr>
                <w:rFonts w:cs="Arial"/>
                <w:color w:val="000000"/>
                <w:lang w:eastAsia="en-NZ"/>
              </w:rPr>
              <w:t>Cap</w:t>
            </w:r>
            <w:r>
              <w:rPr>
                <w:rFonts w:cs="Arial"/>
                <w:color w:val="000000"/>
                <w:lang w:eastAsia="en-NZ"/>
              </w:rPr>
              <w:t>ital &amp;</w:t>
            </w:r>
            <w:r w:rsidRPr="00134C1B">
              <w:rPr>
                <w:rFonts w:cs="Arial"/>
                <w:color w:val="000000"/>
                <w:lang w:eastAsia="en-NZ"/>
              </w:rPr>
              <w:t xml:space="preserve"> Coast </w:t>
            </w:r>
            <w:r>
              <w:rPr>
                <w:rFonts w:cs="Arial"/>
                <w:color w:val="000000"/>
                <w:lang w:eastAsia="en-NZ"/>
              </w:rPr>
              <w:t xml:space="preserve">DHB intensive care unit </w:t>
            </w:r>
            <w:r w:rsidRPr="00134C1B">
              <w:rPr>
                <w:rFonts w:cs="Arial"/>
                <w:color w:val="000000"/>
                <w:lang w:eastAsia="en-NZ"/>
              </w:rPr>
              <w:t>pandemic triage working group</w:t>
            </w:r>
          </w:p>
        </w:tc>
        <w:tc>
          <w:tcPr>
            <w:tcW w:w="2692" w:type="dxa"/>
          </w:tcPr>
          <w:p w14:paraId="3AC226BD" w14:textId="1EBC74BB" w:rsidR="006F7602" w:rsidRDefault="006F7602" w:rsidP="006F7602">
            <w:pPr>
              <w:pStyle w:val="TableText"/>
            </w:pPr>
            <w:r w:rsidRPr="00236568">
              <w:t>Clinical</w:t>
            </w:r>
          </w:p>
        </w:tc>
      </w:tr>
      <w:tr w:rsidR="006F7602" w14:paraId="2891D2A7" w14:textId="77777777" w:rsidTr="006F7602">
        <w:tc>
          <w:tcPr>
            <w:tcW w:w="941" w:type="dxa"/>
          </w:tcPr>
          <w:p w14:paraId="663AC7C4" w14:textId="63C0469D" w:rsidR="006F7602" w:rsidRDefault="006F7602" w:rsidP="006F7602">
            <w:pPr>
              <w:pStyle w:val="TableText"/>
            </w:pPr>
            <w:r>
              <w:t>17</w:t>
            </w:r>
          </w:p>
        </w:tc>
        <w:tc>
          <w:tcPr>
            <w:tcW w:w="4446" w:type="dxa"/>
            <w:vAlign w:val="center"/>
          </w:tcPr>
          <w:p w14:paraId="780EA7A1" w14:textId="35F0914C" w:rsidR="006F7602" w:rsidRDefault="006F7602" w:rsidP="006F7602">
            <w:pPr>
              <w:pStyle w:val="TableText"/>
            </w:pPr>
            <w:r w:rsidRPr="00134C1B">
              <w:rPr>
                <w:rFonts w:cs="Arial"/>
                <w:color w:val="000000"/>
                <w:lang w:eastAsia="en-NZ"/>
              </w:rPr>
              <w:t xml:space="preserve">Waitemata DHB </w:t>
            </w:r>
          </w:p>
        </w:tc>
        <w:tc>
          <w:tcPr>
            <w:tcW w:w="2692" w:type="dxa"/>
          </w:tcPr>
          <w:p w14:paraId="6541CE3C" w14:textId="3ED6DE75" w:rsidR="006F7602" w:rsidRDefault="006F7602" w:rsidP="006F7602">
            <w:pPr>
              <w:pStyle w:val="TableText"/>
            </w:pPr>
            <w:r w:rsidRPr="00236568">
              <w:t>Clinical</w:t>
            </w:r>
          </w:p>
        </w:tc>
      </w:tr>
      <w:tr w:rsidR="006F7602" w14:paraId="74621DEC" w14:textId="77777777" w:rsidTr="006F7602">
        <w:tc>
          <w:tcPr>
            <w:tcW w:w="941" w:type="dxa"/>
          </w:tcPr>
          <w:p w14:paraId="7D4B17FF" w14:textId="610A4DDA" w:rsidR="006F7602" w:rsidRDefault="006F7602" w:rsidP="006F7602">
            <w:pPr>
              <w:pStyle w:val="TableText"/>
            </w:pPr>
            <w:r>
              <w:lastRenderedPageBreak/>
              <w:t>18</w:t>
            </w:r>
          </w:p>
        </w:tc>
        <w:tc>
          <w:tcPr>
            <w:tcW w:w="4446" w:type="dxa"/>
            <w:vAlign w:val="center"/>
          </w:tcPr>
          <w:p w14:paraId="44E48ED8" w14:textId="6902E50D" w:rsidR="006F7602" w:rsidRDefault="006F7602" w:rsidP="006F7602">
            <w:pPr>
              <w:pStyle w:val="TableText"/>
            </w:pPr>
            <w:proofErr w:type="spellStart"/>
            <w:r w:rsidRPr="00134C1B">
              <w:rPr>
                <w:rFonts w:cs="Arial"/>
                <w:color w:val="000000"/>
                <w:lang w:eastAsia="en-NZ"/>
              </w:rPr>
              <w:t>Te</w:t>
            </w:r>
            <w:proofErr w:type="spellEnd"/>
            <w:r w:rsidRPr="00134C1B">
              <w:rPr>
                <w:rFonts w:cs="Arial"/>
                <w:color w:val="000000"/>
                <w:lang w:eastAsia="en-NZ"/>
              </w:rPr>
              <w:t xml:space="preserve"> </w:t>
            </w:r>
            <w:proofErr w:type="spellStart"/>
            <w:r w:rsidRPr="00134C1B">
              <w:rPr>
                <w:rFonts w:cs="Arial"/>
                <w:color w:val="000000"/>
                <w:lang w:eastAsia="en-NZ"/>
              </w:rPr>
              <w:t>Puni</w:t>
            </w:r>
            <w:proofErr w:type="spellEnd"/>
            <w:r w:rsidRPr="00134C1B">
              <w:rPr>
                <w:rFonts w:cs="Arial"/>
                <w:color w:val="000000"/>
                <w:lang w:eastAsia="en-NZ"/>
              </w:rPr>
              <w:t xml:space="preserve"> </w:t>
            </w:r>
            <w:proofErr w:type="spellStart"/>
            <w:r w:rsidRPr="00134C1B">
              <w:rPr>
                <w:rFonts w:cs="Arial"/>
                <w:color w:val="000000"/>
                <w:lang w:eastAsia="en-NZ"/>
              </w:rPr>
              <w:t>Kōkiri</w:t>
            </w:r>
            <w:proofErr w:type="spellEnd"/>
          </w:p>
        </w:tc>
        <w:tc>
          <w:tcPr>
            <w:tcW w:w="2692" w:type="dxa"/>
          </w:tcPr>
          <w:p w14:paraId="0F48BC07" w14:textId="54211501" w:rsidR="006F7602" w:rsidRDefault="006F7602" w:rsidP="006F7602">
            <w:pPr>
              <w:pStyle w:val="TableText"/>
            </w:pPr>
            <w:r w:rsidRPr="00236568">
              <w:t>Māori</w:t>
            </w:r>
          </w:p>
        </w:tc>
      </w:tr>
      <w:tr w:rsidR="006F7602" w14:paraId="30C87CBB" w14:textId="77777777" w:rsidTr="006F7602">
        <w:tc>
          <w:tcPr>
            <w:tcW w:w="941" w:type="dxa"/>
          </w:tcPr>
          <w:p w14:paraId="7322EE94" w14:textId="7BE5E9B2" w:rsidR="006F7602" w:rsidRDefault="006F7602" w:rsidP="006F7602">
            <w:pPr>
              <w:pStyle w:val="TableText"/>
            </w:pPr>
            <w:r>
              <w:t>19</w:t>
            </w:r>
          </w:p>
        </w:tc>
        <w:tc>
          <w:tcPr>
            <w:tcW w:w="4446" w:type="dxa"/>
            <w:vAlign w:val="center"/>
          </w:tcPr>
          <w:p w14:paraId="1E2789BF" w14:textId="2F1A18C3" w:rsidR="006F7602" w:rsidRDefault="006F7602" w:rsidP="006F7602">
            <w:pPr>
              <w:pStyle w:val="TableText"/>
            </w:pPr>
            <w:r w:rsidRPr="00134C1B">
              <w:rPr>
                <w:rFonts w:cs="Arial"/>
                <w:color w:val="000000"/>
                <w:lang w:eastAsia="en-NZ"/>
              </w:rPr>
              <w:t>PHARMAC</w:t>
            </w:r>
          </w:p>
        </w:tc>
        <w:tc>
          <w:tcPr>
            <w:tcW w:w="2692" w:type="dxa"/>
          </w:tcPr>
          <w:p w14:paraId="6DDC201A" w14:textId="142FB3CA" w:rsidR="006F7602" w:rsidRDefault="006F7602" w:rsidP="006F7602">
            <w:pPr>
              <w:pStyle w:val="TableText"/>
            </w:pPr>
            <w:r w:rsidRPr="00236568">
              <w:t>Public health/government</w:t>
            </w:r>
          </w:p>
        </w:tc>
      </w:tr>
      <w:tr w:rsidR="006F7602" w14:paraId="24CB1850" w14:textId="77777777" w:rsidTr="006F7602">
        <w:tc>
          <w:tcPr>
            <w:tcW w:w="941" w:type="dxa"/>
          </w:tcPr>
          <w:p w14:paraId="1665F25F" w14:textId="05BAF636" w:rsidR="006F7602" w:rsidRDefault="006F7602" w:rsidP="006F7602">
            <w:pPr>
              <w:pStyle w:val="TableText"/>
            </w:pPr>
            <w:r>
              <w:t>20</w:t>
            </w:r>
          </w:p>
        </w:tc>
        <w:tc>
          <w:tcPr>
            <w:tcW w:w="4446" w:type="dxa"/>
            <w:vAlign w:val="center"/>
          </w:tcPr>
          <w:p w14:paraId="600FD138" w14:textId="1E809A0F" w:rsidR="006F7602" w:rsidRDefault="006F7602" w:rsidP="006F7602">
            <w:pPr>
              <w:pStyle w:val="TableText"/>
            </w:pPr>
            <w:r w:rsidRPr="00134C1B">
              <w:rPr>
                <w:rFonts w:cs="Arial"/>
                <w:color w:val="000000"/>
                <w:lang w:eastAsia="en-NZ"/>
              </w:rPr>
              <w:t>Royal Australasian College of Physicians</w:t>
            </w:r>
          </w:p>
        </w:tc>
        <w:tc>
          <w:tcPr>
            <w:tcW w:w="2692" w:type="dxa"/>
          </w:tcPr>
          <w:p w14:paraId="59DA3FB6" w14:textId="0510F97E" w:rsidR="006F7602" w:rsidRDefault="006F7602" w:rsidP="006F7602">
            <w:pPr>
              <w:pStyle w:val="TableText"/>
            </w:pPr>
            <w:r w:rsidRPr="00236568">
              <w:t>Clinical</w:t>
            </w:r>
          </w:p>
        </w:tc>
      </w:tr>
      <w:tr w:rsidR="006F7602" w14:paraId="0A720FE2" w14:textId="77777777" w:rsidTr="006F7602">
        <w:tc>
          <w:tcPr>
            <w:tcW w:w="941" w:type="dxa"/>
          </w:tcPr>
          <w:p w14:paraId="1E707DD2" w14:textId="18F2B1DA" w:rsidR="006F7602" w:rsidRDefault="006F7602" w:rsidP="006F7602">
            <w:pPr>
              <w:pStyle w:val="TableText"/>
            </w:pPr>
            <w:r>
              <w:t>21</w:t>
            </w:r>
          </w:p>
        </w:tc>
        <w:tc>
          <w:tcPr>
            <w:tcW w:w="4446" w:type="dxa"/>
            <w:vAlign w:val="center"/>
          </w:tcPr>
          <w:p w14:paraId="5C97A313" w14:textId="46A2EE5E" w:rsidR="006F7602" w:rsidRDefault="006F7602" w:rsidP="006F7602">
            <w:pPr>
              <w:pStyle w:val="TableText"/>
            </w:pPr>
            <w:r w:rsidRPr="00134C1B">
              <w:rPr>
                <w:rFonts w:cs="Arial"/>
                <w:color w:val="000000"/>
                <w:lang w:eastAsia="en-NZ"/>
              </w:rPr>
              <w:t>New Zealand Nurses Organisation</w:t>
            </w:r>
          </w:p>
        </w:tc>
        <w:tc>
          <w:tcPr>
            <w:tcW w:w="2692" w:type="dxa"/>
          </w:tcPr>
          <w:p w14:paraId="4057FC2D" w14:textId="77401795" w:rsidR="006F7602" w:rsidRDefault="006F7602" w:rsidP="006F7602">
            <w:pPr>
              <w:pStyle w:val="TableText"/>
            </w:pPr>
            <w:r w:rsidRPr="00236568">
              <w:t>Clinical</w:t>
            </w:r>
          </w:p>
        </w:tc>
      </w:tr>
      <w:tr w:rsidR="006F7602" w14:paraId="2DCF2CE4" w14:textId="77777777" w:rsidTr="006F7602">
        <w:tc>
          <w:tcPr>
            <w:tcW w:w="941" w:type="dxa"/>
          </w:tcPr>
          <w:p w14:paraId="54D81A28" w14:textId="08FDB517" w:rsidR="006F7602" w:rsidRDefault="006F7602" w:rsidP="006F7602">
            <w:pPr>
              <w:pStyle w:val="TableText"/>
            </w:pPr>
            <w:r>
              <w:t>22</w:t>
            </w:r>
          </w:p>
        </w:tc>
        <w:tc>
          <w:tcPr>
            <w:tcW w:w="4446" w:type="dxa"/>
            <w:vAlign w:val="center"/>
          </w:tcPr>
          <w:p w14:paraId="01704E32" w14:textId="739F5979" w:rsidR="006F7602" w:rsidRDefault="006F7602" w:rsidP="006F7602">
            <w:pPr>
              <w:pStyle w:val="TableText"/>
            </w:pPr>
            <w:proofErr w:type="spellStart"/>
            <w:r w:rsidRPr="00134C1B">
              <w:rPr>
                <w:rFonts w:cs="Arial"/>
                <w:color w:val="000000"/>
                <w:lang w:eastAsia="en-NZ"/>
              </w:rPr>
              <w:t>Hāpai</w:t>
            </w:r>
            <w:proofErr w:type="spellEnd"/>
            <w:r w:rsidRPr="00134C1B">
              <w:rPr>
                <w:rFonts w:cs="Arial"/>
                <w:color w:val="000000"/>
                <w:lang w:eastAsia="en-NZ"/>
              </w:rPr>
              <w:t xml:space="preserve"> </w:t>
            </w:r>
            <w:proofErr w:type="spellStart"/>
            <w:r w:rsidRPr="00134C1B">
              <w:rPr>
                <w:rFonts w:cs="Arial"/>
                <w:color w:val="000000"/>
                <w:lang w:eastAsia="en-NZ"/>
              </w:rPr>
              <w:t>te</w:t>
            </w:r>
            <w:proofErr w:type="spellEnd"/>
            <w:r w:rsidRPr="00134C1B">
              <w:rPr>
                <w:rFonts w:cs="Arial"/>
                <w:color w:val="000000"/>
                <w:lang w:eastAsia="en-NZ"/>
              </w:rPr>
              <w:t xml:space="preserve"> Hauora </w:t>
            </w:r>
            <w:proofErr w:type="spellStart"/>
            <w:r w:rsidRPr="00134C1B">
              <w:rPr>
                <w:rFonts w:cs="Arial"/>
                <w:color w:val="000000"/>
                <w:lang w:eastAsia="en-NZ"/>
              </w:rPr>
              <w:t>Tāpui</w:t>
            </w:r>
            <w:proofErr w:type="spellEnd"/>
          </w:p>
        </w:tc>
        <w:tc>
          <w:tcPr>
            <w:tcW w:w="2692" w:type="dxa"/>
          </w:tcPr>
          <w:p w14:paraId="4C748996" w14:textId="70D5B3E6" w:rsidR="006F7602" w:rsidRDefault="006F7602" w:rsidP="006F7602">
            <w:pPr>
              <w:pStyle w:val="TableText"/>
            </w:pPr>
            <w:r w:rsidRPr="00236568">
              <w:t>Māori Public Health (non-government organisation)</w:t>
            </w:r>
          </w:p>
        </w:tc>
      </w:tr>
      <w:tr w:rsidR="006F7602" w14:paraId="6153924B" w14:textId="77777777" w:rsidTr="006F7602">
        <w:tc>
          <w:tcPr>
            <w:tcW w:w="941" w:type="dxa"/>
          </w:tcPr>
          <w:p w14:paraId="7FF9ED42" w14:textId="3FE8F934" w:rsidR="006F7602" w:rsidRDefault="006F7602" w:rsidP="006F7602">
            <w:pPr>
              <w:pStyle w:val="TableText"/>
            </w:pPr>
            <w:r>
              <w:t>23</w:t>
            </w:r>
          </w:p>
        </w:tc>
        <w:tc>
          <w:tcPr>
            <w:tcW w:w="4446" w:type="dxa"/>
            <w:vAlign w:val="center"/>
          </w:tcPr>
          <w:p w14:paraId="320FF34A" w14:textId="4338622E" w:rsidR="006F7602" w:rsidRDefault="006F7602" w:rsidP="006F7602">
            <w:pPr>
              <w:pStyle w:val="TableText"/>
            </w:pPr>
            <w:r w:rsidRPr="00134C1B">
              <w:rPr>
                <w:rFonts w:cs="Arial"/>
                <w:color w:val="000000"/>
                <w:lang w:eastAsia="en-NZ"/>
              </w:rPr>
              <w:t>Disability Action National Office</w:t>
            </w:r>
          </w:p>
        </w:tc>
        <w:tc>
          <w:tcPr>
            <w:tcW w:w="2692" w:type="dxa"/>
          </w:tcPr>
          <w:p w14:paraId="28F53088" w14:textId="516379A9" w:rsidR="006F7602" w:rsidRDefault="006F7602" w:rsidP="006F7602">
            <w:pPr>
              <w:pStyle w:val="TableText"/>
            </w:pPr>
            <w:r w:rsidRPr="00236568">
              <w:t>Disability</w:t>
            </w:r>
          </w:p>
        </w:tc>
      </w:tr>
      <w:tr w:rsidR="006F7602" w14:paraId="248E0FF8" w14:textId="77777777" w:rsidTr="006F7602">
        <w:tc>
          <w:tcPr>
            <w:tcW w:w="941" w:type="dxa"/>
          </w:tcPr>
          <w:p w14:paraId="5DF9C0EB" w14:textId="2CA1750F" w:rsidR="006F7602" w:rsidRDefault="006F7602" w:rsidP="006F7602">
            <w:pPr>
              <w:pStyle w:val="TableText"/>
            </w:pPr>
            <w:r>
              <w:t>24</w:t>
            </w:r>
          </w:p>
        </w:tc>
        <w:tc>
          <w:tcPr>
            <w:tcW w:w="4446" w:type="dxa"/>
            <w:vAlign w:val="center"/>
          </w:tcPr>
          <w:p w14:paraId="516AE07F" w14:textId="651B55DA" w:rsidR="006F7602" w:rsidRDefault="006F7602" w:rsidP="006F7602">
            <w:pPr>
              <w:pStyle w:val="TableText"/>
            </w:pPr>
            <w:r>
              <w:rPr>
                <w:rFonts w:cs="Arial"/>
                <w:color w:val="000000"/>
                <w:lang w:eastAsia="en-NZ"/>
              </w:rPr>
              <w:t xml:space="preserve">Nelson </w:t>
            </w:r>
            <w:r w:rsidRPr="00134C1B">
              <w:rPr>
                <w:rFonts w:cs="Arial"/>
                <w:color w:val="000000"/>
                <w:lang w:eastAsia="en-NZ"/>
              </w:rPr>
              <w:t>Marlborough District Health Board</w:t>
            </w:r>
          </w:p>
        </w:tc>
        <w:tc>
          <w:tcPr>
            <w:tcW w:w="2692" w:type="dxa"/>
          </w:tcPr>
          <w:p w14:paraId="0C333BE9" w14:textId="703F3304" w:rsidR="006F7602" w:rsidRDefault="006F7602" w:rsidP="006F7602">
            <w:pPr>
              <w:pStyle w:val="TableText"/>
            </w:pPr>
            <w:r w:rsidRPr="00236568">
              <w:t>Clinical/public health</w:t>
            </w:r>
          </w:p>
        </w:tc>
      </w:tr>
      <w:tr w:rsidR="006F7602" w14:paraId="294CF75D" w14:textId="77777777" w:rsidTr="006F7602">
        <w:tc>
          <w:tcPr>
            <w:tcW w:w="941" w:type="dxa"/>
          </w:tcPr>
          <w:p w14:paraId="719042EC" w14:textId="36D755E6" w:rsidR="006F7602" w:rsidRDefault="006F7602" w:rsidP="006F7602">
            <w:pPr>
              <w:pStyle w:val="TableText"/>
            </w:pPr>
            <w:r>
              <w:t>25</w:t>
            </w:r>
          </w:p>
        </w:tc>
        <w:tc>
          <w:tcPr>
            <w:tcW w:w="4446" w:type="dxa"/>
            <w:vAlign w:val="center"/>
          </w:tcPr>
          <w:p w14:paraId="4664480D" w14:textId="64B96F8C" w:rsidR="006F7602" w:rsidRDefault="006F7602" w:rsidP="006F7602">
            <w:pPr>
              <w:pStyle w:val="TableText"/>
            </w:pPr>
            <w:r w:rsidRPr="00134C1B">
              <w:rPr>
                <w:rFonts w:cs="Arial"/>
                <w:color w:val="000000"/>
                <w:lang w:eastAsia="en-NZ"/>
              </w:rPr>
              <w:t>New Zealand Medical Association</w:t>
            </w:r>
          </w:p>
        </w:tc>
        <w:tc>
          <w:tcPr>
            <w:tcW w:w="2692" w:type="dxa"/>
          </w:tcPr>
          <w:p w14:paraId="102CFF5B" w14:textId="43950C80" w:rsidR="006F7602" w:rsidRDefault="006F7602" w:rsidP="006F7602">
            <w:pPr>
              <w:pStyle w:val="TableText"/>
            </w:pPr>
            <w:r w:rsidRPr="00236568">
              <w:t>Clinical/public health</w:t>
            </w:r>
          </w:p>
        </w:tc>
      </w:tr>
      <w:tr w:rsidR="006F7602" w14:paraId="117CDEDC" w14:textId="77777777" w:rsidTr="006F7602">
        <w:tc>
          <w:tcPr>
            <w:tcW w:w="941" w:type="dxa"/>
          </w:tcPr>
          <w:p w14:paraId="537558AE" w14:textId="75D75658" w:rsidR="006F7602" w:rsidRDefault="006F7602" w:rsidP="006F7602">
            <w:pPr>
              <w:pStyle w:val="TableText"/>
            </w:pPr>
            <w:r>
              <w:t>26</w:t>
            </w:r>
          </w:p>
        </w:tc>
        <w:tc>
          <w:tcPr>
            <w:tcW w:w="4446" w:type="dxa"/>
            <w:vAlign w:val="center"/>
          </w:tcPr>
          <w:p w14:paraId="57D7DB9C" w14:textId="38F94885" w:rsidR="006F7602" w:rsidRDefault="006F7602" w:rsidP="006F7602">
            <w:pPr>
              <w:pStyle w:val="TableText"/>
            </w:pPr>
            <w:r w:rsidRPr="00134C1B">
              <w:rPr>
                <w:rFonts w:cs="Arial"/>
                <w:color w:val="000000"/>
                <w:lang w:eastAsia="en-NZ"/>
              </w:rPr>
              <w:t>H</w:t>
            </w:r>
            <w:r>
              <w:rPr>
                <w:rFonts w:cs="Arial"/>
                <w:color w:val="000000"/>
                <w:lang w:eastAsia="en-NZ"/>
              </w:rPr>
              <w:t xml:space="preserve">ealth </w:t>
            </w:r>
            <w:r w:rsidRPr="00134C1B">
              <w:rPr>
                <w:rFonts w:cs="Arial"/>
                <w:color w:val="000000"/>
                <w:lang w:eastAsia="en-NZ"/>
              </w:rPr>
              <w:t>Q</w:t>
            </w:r>
            <w:r>
              <w:rPr>
                <w:rFonts w:cs="Arial"/>
                <w:color w:val="000000"/>
                <w:lang w:eastAsia="en-NZ"/>
              </w:rPr>
              <w:t xml:space="preserve">uality &amp; </w:t>
            </w:r>
            <w:r w:rsidRPr="00134C1B">
              <w:rPr>
                <w:rFonts w:cs="Arial"/>
                <w:color w:val="000000"/>
                <w:lang w:eastAsia="en-NZ"/>
              </w:rPr>
              <w:t>S</w:t>
            </w:r>
            <w:r>
              <w:rPr>
                <w:rFonts w:cs="Arial"/>
                <w:color w:val="000000"/>
                <w:lang w:eastAsia="en-NZ"/>
              </w:rPr>
              <w:t xml:space="preserve">afety </w:t>
            </w:r>
            <w:r w:rsidRPr="00134C1B">
              <w:rPr>
                <w:rFonts w:cs="Arial"/>
                <w:color w:val="000000"/>
                <w:lang w:eastAsia="en-NZ"/>
              </w:rPr>
              <w:t>C</w:t>
            </w:r>
            <w:r>
              <w:rPr>
                <w:rFonts w:cs="Arial"/>
                <w:color w:val="000000"/>
                <w:lang w:eastAsia="en-NZ"/>
              </w:rPr>
              <w:t>ommission</w:t>
            </w:r>
          </w:p>
        </w:tc>
        <w:tc>
          <w:tcPr>
            <w:tcW w:w="2692" w:type="dxa"/>
          </w:tcPr>
          <w:p w14:paraId="0F10C5B1" w14:textId="480D61A4" w:rsidR="006F7602" w:rsidRDefault="006F7602" w:rsidP="006F7602">
            <w:pPr>
              <w:pStyle w:val="TableText"/>
            </w:pPr>
            <w:r w:rsidRPr="00236568">
              <w:t>Quality and safety</w:t>
            </w:r>
          </w:p>
        </w:tc>
      </w:tr>
      <w:tr w:rsidR="006F7602" w14:paraId="580A35E6" w14:textId="77777777" w:rsidTr="006F7602">
        <w:tc>
          <w:tcPr>
            <w:tcW w:w="941" w:type="dxa"/>
          </w:tcPr>
          <w:p w14:paraId="4C22670D" w14:textId="7D6A8C37" w:rsidR="006F7602" w:rsidRDefault="006F7602" w:rsidP="006F7602">
            <w:pPr>
              <w:pStyle w:val="TableText"/>
            </w:pPr>
            <w:r>
              <w:t>27</w:t>
            </w:r>
          </w:p>
        </w:tc>
        <w:tc>
          <w:tcPr>
            <w:tcW w:w="4446" w:type="dxa"/>
            <w:vAlign w:val="center"/>
          </w:tcPr>
          <w:p w14:paraId="5ED848B8" w14:textId="2572DBA2" w:rsidR="006F7602" w:rsidRDefault="006F7602" w:rsidP="006F7602">
            <w:pPr>
              <w:pStyle w:val="TableText"/>
            </w:pPr>
            <w:r w:rsidRPr="00134C1B">
              <w:rPr>
                <w:rFonts w:cs="Arial"/>
                <w:color w:val="000000"/>
                <w:lang w:eastAsia="en-NZ"/>
              </w:rPr>
              <w:t xml:space="preserve">Australian and New Zealand College of Anaesthetists </w:t>
            </w:r>
            <w:r w:rsidRPr="00134C1B">
              <w:rPr>
                <w:rFonts w:cs="Arial"/>
                <w:color w:val="000000"/>
                <w:lang w:eastAsia="en-NZ"/>
              </w:rPr>
              <w:br/>
              <w:t>&amp; Faculty of Pain Medicine</w:t>
            </w:r>
          </w:p>
        </w:tc>
        <w:tc>
          <w:tcPr>
            <w:tcW w:w="2692" w:type="dxa"/>
          </w:tcPr>
          <w:p w14:paraId="2A6AA35F" w14:textId="4467B3EF" w:rsidR="006F7602" w:rsidRDefault="006F7602" w:rsidP="006F7602">
            <w:pPr>
              <w:pStyle w:val="TableText"/>
            </w:pPr>
            <w:r w:rsidRPr="00236568">
              <w:t>Clinical</w:t>
            </w:r>
          </w:p>
        </w:tc>
      </w:tr>
      <w:tr w:rsidR="006F7602" w14:paraId="6CB2F002" w14:textId="77777777" w:rsidTr="006F7602">
        <w:tc>
          <w:tcPr>
            <w:tcW w:w="941" w:type="dxa"/>
          </w:tcPr>
          <w:p w14:paraId="76CB6B70" w14:textId="5990E6F1" w:rsidR="006F7602" w:rsidRDefault="006F7602" w:rsidP="006F7602">
            <w:pPr>
              <w:pStyle w:val="TableText"/>
            </w:pPr>
            <w:r>
              <w:t>28</w:t>
            </w:r>
          </w:p>
        </w:tc>
        <w:tc>
          <w:tcPr>
            <w:tcW w:w="4446" w:type="dxa"/>
            <w:vAlign w:val="center"/>
          </w:tcPr>
          <w:p w14:paraId="74E58E69" w14:textId="4DCA0B87" w:rsidR="006F7602" w:rsidRDefault="006F7602" w:rsidP="006F7602">
            <w:pPr>
              <w:pStyle w:val="TableText"/>
            </w:pPr>
            <w:r w:rsidRPr="00134C1B">
              <w:rPr>
                <w:rFonts w:cs="Arial"/>
                <w:color w:val="000000"/>
                <w:lang w:eastAsia="en-NZ"/>
              </w:rPr>
              <w:t>Human Rights Commission</w:t>
            </w:r>
          </w:p>
        </w:tc>
        <w:tc>
          <w:tcPr>
            <w:tcW w:w="2692" w:type="dxa"/>
          </w:tcPr>
          <w:p w14:paraId="2595538C" w14:textId="596EAC1E" w:rsidR="006F7602" w:rsidRDefault="006F7602" w:rsidP="006F7602">
            <w:pPr>
              <w:pStyle w:val="TableText"/>
            </w:pPr>
            <w:r w:rsidRPr="00236568">
              <w:t>Consumer</w:t>
            </w:r>
          </w:p>
        </w:tc>
      </w:tr>
      <w:tr w:rsidR="006F7602" w14:paraId="1F501D4A" w14:textId="77777777" w:rsidTr="006F7602">
        <w:tc>
          <w:tcPr>
            <w:tcW w:w="941" w:type="dxa"/>
          </w:tcPr>
          <w:p w14:paraId="6EABB7A3" w14:textId="2B832C90" w:rsidR="006F7602" w:rsidRDefault="006F7602" w:rsidP="006F7602">
            <w:pPr>
              <w:pStyle w:val="TableText"/>
            </w:pPr>
            <w:r>
              <w:t>29</w:t>
            </w:r>
          </w:p>
        </w:tc>
        <w:tc>
          <w:tcPr>
            <w:tcW w:w="4446" w:type="dxa"/>
            <w:vAlign w:val="center"/>
          </w:tcPr>
          <w:p w14:paraId="4CB0E75E" w14:textId="5B2912E8" w:rsidR="006F7602" w:rsidRDefault="006F7602" w:rsidP="006F7602">
            <w:pPr>
              <w:pStyle w:val="TableText"/>
            </w:pPr>
            <w:r w:rsidRPr="00134C1B">
              <w:rPr>
                <w:rFonts w:cs="Arial"/>
                <w:color w:val="000000"/>
                <w:lang w:eastAsia="en-NZ"/>
              </w:rPr>
              <w:t>C</w:t>
            </w:r>
            <w:r>
              <w:rPr>
                <w:rFonts w:cs="Arial"/>
                <w:color w:val="000000"/>
                <w:lang w:eastAsia="en-NZ"/>
              </w:rPr>
              <w:t xml:space="preserve">entral </w:t>
            </w:r>
            <w:r w:rsidRPr="00134C1B">
              <w:rPr>
                <w:rFonts w:cs="Arial"/>
                <w:color w:val="000000"/>
                <w:lang w:eastAsia="en-NZ"/>
              </w:rPr>
              <w:t>DHB</w:t>
            </w:r>
          </w:p>
        </w:tc>
        <w:tc>
          <w:tcPr>
            <w:tcW w:w="2692" w:type="dxa"/>
          </w:tcPr>
          <w:p w14:paraId="39A8E46E" w14:textId="05CDE201" w:rsidR="006F7602" w:rsidRDefault="006F7602" w:rsidP="006F7602">
            <w:pPr>
              <w:pStyle w:val="TableText"/>
            </w:pPr>
            <w:r w:rsidRPr="00236568">
              <w:t>DHB community and public health department</w:t>
            </w:r>
          </w:p>
        </w:tc>
      </w:tr>
    </w:tbl>
    <w:p w14:paraId="681CC562" w14:textId="32CD31AB" w:rsidR="006F7602" w:rsidRDefault="006F7602" w:rsidP="006F7602"/>
    <w:p w14:paraId="04F74AA3" w14:textId="1DF6F6B4" w:rsidR="006F7602" w:rsidRDefault="006F7602" w:rsidP="006F7602"/>
    <w:p w14:paraId="266326AB" w14:textId="44CF2857" w:rsidR="006F7602" w:rsidRDefault="006F7602" w:rsidP="006F7602"/>
    <w:p w14:paraId="0B86831C" w14:textId="77777777" w:rsidR="00966826" w:rsidRDefault="00966826" w:rsidP="006F7602">
      <w:pPr>
        <w:rPr>
          <w:b/>
        </w:rPr>
        <w:sectPr w:rsidR="00966826" w:rsidSect="001F7C66">
          <w:pgSz w:w="11907" w:h="16834" w:code="9"/>
          <w:pgMar w:top="1418" w:right="1701" w:bottom="1418" w:left="1843" w:header="284" w:footer="567" w:gutter="284"/>
          <w:cols w:space="720"/>
          <w:docGrid w:linePitch="286"/>
        </w:sectPr>
      </w:pPr>
    </w:p>
    <w:p w14:paraId="0527A13A" w14:textId="77777777" w:rsidR="00966826" w:rsidRPr="00966826" w:rsidRDefault="00966826" w:rsidP="00966826">
      <w:pPr>
        <w:pStyle w:val="Heading1"/>
      </w:pPr>
      <w:bookmarkStart w:id="19" w:name="_Toc50491727"/>
      <w:r w:rsidRPr="00966826">
        <w:lastRenderedPageBreak/>
        <w:t>Analysis</w:t>
      </w:r>
      <w:bookmarkEnd w:id="19"/>
    </w:p>
    <w:p w14:paraId="5C60F194" w14:textId="77777777" w:rsidR="00966826" w:rsidRPr="00966826" w:rsidRDefault="00966826" w:rsidP="00966826">
      <w:pPr>
        <w:pStyle w:val="Heading2"/>
      </w:pPr>
      <w:bookmarkStart w:id="20" w:name="_Toc50491728"/>
      <w:r w:rsidRPr="00966826">
        <w:t>Introduction</w:t>
      </w:r>
      <w:bookmarkEnd w:id="20"/>
    </w:p>
    <w:p w14:paraId="0E20ADDC" w14:textId="38AF95F2" w:rsidR="00966826" w:rsidRDefault="00966826" w:rsidP="00966826">
      <w:r w:rsidRPr="00966826">
        <w:t>Overall, submissions showed strong support for the general approach and content of the Framework. Most submitters made additional suggestions, including further refinements; some expressed disagreement with certain parts. Overall, the feedback was positive and constructive, and suggestions were helpful.</w:t>
      </w:r>
    </w:p>
    <w:p w14:paraId="431836F6" w14:textId="77777777" w:rsidR="00966826" w:rsidRPr="00966826" w:rsidRDefault="00966826" w:rsidP="00966826"/>
    <w:p w14:paraId="16BA8467" w14:textId="1301513D" w:rsidR="00966826" w:rsidRDefault="00966826" w:rsidP="00966826">
      <w:r w:rsidRPr="00966826">
        <w:t xml:space="preserve">There was also strong support for the proposed approach to </w:t>
      </w:r>
      <w:proofErr w:type="spellStart"/>
      <w:r w:rsidRPr="00966826">
        <w:t>Te</w:t>
      </w:r>
      <w:proofErr w:type="spellEnd"/>
      <w:r w:rsidRPr="00966826">
        <w:t xml:space="preserve"> </w:t>
      </w:r>
      <w:proofErr w:type="spellStart"/>
      <w:r w:rsidRPr="00966826">
        <w:t>Tiriti</w:t>
      </w:r>
      <w:proofErr w:type="spellEnd"/>
      <w:r w:rsidRPr="00966826">
        <w:t xml:space="preserve"> o Waitangi. The proposed focus on equity, and the need for a New Zealand-centric ethical framework grounded in </w:t>
      </w:r>
      <w:proofErr w:type="spellStart"/>
      <w:r w:rsidRPr="00966826">
        <w:t>Te</w:t>
      </w:r>
      <w:proofErr w:type="spellEnd"/>
      <w:r w:rsidRPr="00966826">
        <w:t xml:space="preserve"> </w:t>
      </w:r>
      <w:proofErr w:type="spellStart"/>
      <w:r w:rsidRPr="00966826">
        <w:t>Tiriti</w:t>
      </w:r>
      <w:proofErr w:type="spellEnd"/>
      <w:r w:rsidRPr="00966826">
        <w:t xml:space="preserve">, resonated with many people, and the Framework’s approach in this context was thought to be helpful, directly and indirectly, to tackling resource allocation issues. </w:t>
      </w:r>
    </w:p>
    <w:p w14:paraId="34964AC8" w14:textId="77777777" w:rsidR="00966826" w:rsidRPr="00966826" w:rsidRDefault="00966826" w:rsidP="00966826"/>
    <w:p w14:paraId="0C760EBB" w14:textId="77777777" w:rsidR="00966826" w:rsidRPr="00966826" w:rsidRDefault="00966826" w:rsidP="00966826">
      <w:r w:rsidRPr="00966826">
        <w:t xml:space="preserve">NEAC developed this consultation at the same time that many submitters were dealing </w:t>
      </w:r>
      <w:proofErr w:type="spellStart"/>
      <w:r w:rsidRPr="00966826">
        <w:t>firsthand</w:t>
      </w:r>
      <w:proofErr w:type="spellEnd"/>
      <w:r w:rsidRPr="00966826">
        <w:t xml:space="preserve"> with the subject matter under consideration, namely resource allocation during the COVID-19 pandemic. Accordingly, many lessons drawn from submitters’ real-life experience came to </w:t>
      </w:r>
      <w:proofErr w:type="gramStart"/>
      <w:r w:rsidRPr="00966826">
        <w:t>light, and</w:t>
      </w:r>
      <w:proofErr w:type="gramEnd"/>
      <w:r w:rsidRPr="00966826">
        <w:t xml:space="preserve"> will inform the final iteration of the Framework. In particular, NEAC became aware of two significant issues that the Framework will need to address: </w:t>
      </w:r>
    </w:p>
    <w:p w14:paraId="281FCEF6" w14:textId="47A7B2E3" w:rsidR="00966826" w:rsidRPr="00966826" w:rsidRDefault="00966826" w:rsidP="00966826">
      <w:pPr>
        <w:pStyle w:val="Bullet"/>
      </w:pPr>
      <w:r w:rsidRPr="00966826">
        <w:t>a tension between clinical judgement and the background context of systemic racism that has resulted from colonisation</w:t>
      </w:r>
    </w:p>
    <w:p w14:paraId="67538197" w14:textId="5204E907" w:rsidR="00966826" w:rsidRPr="00966826" w:rsidRDefault="00966826" w:rsidP="00966826">
      <w:pPr>
        <w:pStyle w:val="Bullet"/>
      </w:pPr>
      <w:r w:rsidRPr="00966826">
        <w:t xml:space="preserve">issues resulting from the suspension of services that the Government considered non-essential. </w:t>
      </w:r>
    </w:p>
    <w:p w14:paraId="5F98B8D4" w14:textId="77777777" w:rsidR="00966826" w:rsidRDefault="00966826" w:rsidP="00966826"/>
    <w:p w14:paraId="5A4B709D" w14:textId="0B7510BB" w:rsidR="006F7602" w:rsidRDefault="00966826" w:rsidP="00966826">
      <w:pPr>
        <w:rPr>
          <w:i/>
        </w:rPr>
      </w:pPr>
      <w:r w:rsidRPr="00966826">
        <w:t xml:space="preserve">Submitters generally strongly supported the Framework’s assumption that pandemics can exacerbate existing inequities, and that different approaches are therefore required to achieve equity. Many people highlighted the interconnection between resource allocation and the wider issue of equity in the context of the COVID-19 pandemic. NEAC acknowledges </w:t>
      </w:r>
      <w:proofErr w:type="gramStart"/>
      <w:r w:rsidRPr="00966826">
        <w:t>this, and</w:t>
      </w:r>
      <w:proofErr w:type="gramEnd"/>
      <w:r w:rsidRPr="00966826">
        <w:t xml:space="preserve"> will address this issue both in the Framework and in its update of</w:t>
      </w:r>
      <w:r w:rsidRPr="00966826">
        <w:rPr>
          <w:i/>
        </w:rPr>
        <w:t xml:space="preserve"> Getting Through Together.</w:t>
      </w:r>
    </w:p>
    <w:p w14:paraId="5CE2648D" w14:textId="77777777" w:rsidR="00966826" w:rsidRDefault="00966826" w:rsidP="00966826">
      <w:pPr>
        <w:sectPr w:rsidR="00966826" w:rsidSect="001F7C66">
          <w:pgSz w:w="11907" w:h="16834" w:code="9"/>
          <w:pgMar w:top="1418" w:right="1701" w:bottom="1418" w:left="1843" w:header="284" w:footer="567" w:gutter="284"/>
          <w:cols w:space="720"/>
          <w:docGrid w:linePitch="286"/>
        </w:sectPr>
      </w:pPr>
    </w:p>
    <w:p w14:paraId="736630F8" w14:textId="77777777" w:rsidR="00966826" w:rsidRDefault="00966826" w:rsidP="00966826">
      <w:pPr>
        <w:pStyle w:val="Heading1"/>
      </w:pPr>
      <w:bookmarkStart w:id="21" w:name="_Toc50491729"/>
      <w:r>
        <w:lastRenderedPageBreak/>
        <w:t>Themes</w:t>
      </w:r>
      <w:bookmarkEnd w:id="21"/>
    </w:p>
    <w:p w14:paraId="327185C4" w14:textId="77777777" w:rsidR="00966826" w:rsidRDefault="00966826" w:rsidP="00966826"/>
    <w:p w14:paraId="48258ACB" w14:textId="77777777" w:rsidR="00966826" w:rsidRDefault="00966826" w:rsidP="00966826">
      <w:r>
        <w:t>We asked submitters to tell us what they thought about three statements on a Likert scale:</w:t>
      </w:r>
    </w:p>
    <w:p w14:paraId="634A585F" w14:textId="0D15B0E3" w:rsidR="00966826" w:rsidRDefault="00966826" w:rsidP="00966826">
      <w:pPr>
        <w:pStyle w:val="Bullet"/>
      </w:pPr>
      <w:r>
        <w:t>The Framework captures the ethical tensions in resource allocation in times of scarcity</w:t>
      </w:r>
    </w:p>
    <w:p w14:paraId="362D316B" w14:textId="06A333B0" w:rsidR="00966826" w:rsidRDefault="00966826" w:rsidP="00966826">
      <w:pPr>
        <w:pStyle w:val="Bullet"/>
      </w:pPr>
      <w:r>
        <w:t>The Framework helps decision-makers understand the ethical implications of making decisions</w:t>
      </w:r>
    </w:p>
    <w:p w14:paraId="7ECDA7D7" w14:textId="04C827BC" w:rsidR="00966826" w:rsidRDefault="00966826" w:rsidP="00966826">
      <w:pPr>
        <w:pStyle w:val="Bullet"/>
      </w:pPr>
      <w:r>
        <w:t xml:space="preserve">The Framework helps decision-makers consider equity when responding to COVID-19. </w:t>
      </w:r>
    </w:p>
    <w:p w14:paraId="286B9E43" w14:textId="77777777" w:rsidR="00966826" w:rsidRDefault="00966826" w:rsidP="00966826"/>
    <w:p w14:paraId="32ACD85F" w14:textId="6F4AECCE" w:rsidR="00966826" w:rsidRDefault="00966826" w:rsidP="00966826">
      <w:r>
        <w:t xml:space="preserve">Overall, submitters agreed with the statements that the Framework captures the ethical tensions in resource allocation in times of scarcity and helps decision-makers understand the ethical implications of making </w:t>
      </w:r>
      <w:proofErr w:type="gramStart"/>
      <w:r>
        <w:t>decisions, but</w:t>
      </w:r>
      <w:proofErr w:type="gramEnd"/>
      <w:r>
        <w:t xml:space="preserve"> agreed less so with the statement that the Framework helps decision-makers consider equity when responding to COVID-19.</w:t>
      </w:r>
    </w:p>
    <w:p w14:paraId="2AA74D3D" w14:textId="77777777" w:rsidR="00966826" w:rsidRDefault="00966826" w:rsidP="00966826"/>
    <w:p w14:paraId="250F9972" w14:textId="225BAC47" w:rsidR="00966826" w:rsidRDefault="00966826" w:rsidP="00966826">
      <w:r>
        <w:t>The structure of the remainder of the document contains themes identified by NEAC as emerging consistently throughout the feedback to the Frameworks consultation.</w:t>
      </w:r>
    </w:p>
    <w:p w14:paraId="31ECEDCB" w14:textId="77777777" w:rsidR="00966826" w:rsidRDefault="00966826" w:rsidP="00966826"/>
    <w:p w14:paraId="34F45914" w14:textId="64565B94" w:rsidR="00966826" w:rsidRDefault="00966826" w:rsidP="00966826">
      <w:pPr>
        <w:rPr>
          <w:noProof/>
        </w:rPr>
      </w:pPr>
      <w:r>
        <w:rPr>
          <w:noProof/>
        </w:rPr>
        <w:drawing>
          <wp:inline distT="0" distB="0" distL="0" distR="0" wp14:anchorId="48F15A80" wp14:editId="4260BACD">
            <wp:extent cx="5130165" cy="3074027"/>
            <wp:effectExtent l="0" t="0" r="13335" b="12700"/>
            <wp:docPr id="16" name="Chart 16" descr="This bar graph shows the submitted answers. Participants were asked to respond to statements on a spectrum from strongly disagree to strongly agree. In response to the statement 'The Framework captures the ethical tensions in resource allocation in times of scarcity', 3 participants were neutral, 14 agreed, and 6 strongly agreed. In response to the statement 'The Framework helps decision-makers understand the ethical implications of making decisions', 4 disagreed, 3 were neutral, 11 agreed and 5 strongly agreed. In response to the statement 'The Framework helps decision-makers consider equity when responding to COVID-19', 5 disagreed, 1 was neutral, 13 agreed and 4 strongly agreed.">
              <a:extLst xmlns:a="http://schemas.openxmlformats.org/drawingml/2006/main">
                <a:ext uri="{FF2B5EF4-FFF2-40B4-BE49-F238E27FC236}">
                  <a16:creationId xmlns:a16="http://schemas.microsoft.com/office/drawing/2014/main" id="{1924ED6C-471C-4579-B48E-D6377BDE14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00419C0" w14:textId="5ADFB092" w:rsidR="00966826" w:rsidRPr="00966826" w:rsidRDefault="00966826" w:rsidP="00966826"/>
    <w:p w14:paraId="5285B3DE" w14:textId="6E523BE3" w:rsidR="00966826" w:rsidRDefault="00966826" w:rsidP="00966826">
      <w:pPr>
        <w:rPr>
          <w:noProof/>
        </w:rPr>
      </w:pPr>
    </w:p>
    <w:p w14:paraId="1DA2EAF5" w14:textId="77777777" w:rsidR="00966826" w:rsidRPr="00A5118F" w:rsidRDefault="00966826" w:rsidP="00966826">
      <w:pPr>
        <w:pStyle w:val="Heading2"/>
      </w:pPr>
      <w:bookmarkStart w:id="22" w:name="_Toc50025107"/>
      <w:bookmarkStart w:id="23" w:name="_Toc50491730"/>
      <w:r>
        <w:lastRenderedPageBreak/>
        <w:t>Support for the Framework</w:t>
      </w:r>
      <w:bookmarkEnd w:id="22"/>
      <w:bookmarkEnd w:id="23"/>
    </w:p>
    <w:p w14:paraId="0E1C8702" w14:textId="77777777" w:rsidR="00966826" w:rsidRPr="008565C1" w:rsidRDefault="00966826" w:rsidP="00966826">
      <w:pPr>
        <w:autoSpaceDE w:val="0"/>
        <w:autoSpaceDN w:val="0"/>
        <w:adjustRightInd w:val="0"/>
        <w:rPr>
          <w:rFonts w:cs="Arial"/>
        </w:rPr>
      </w:pPr>
      <w:r>
        <w:rPr>
          <w:rFonts w:cs="Arial"/>
        </w:rPr>
        <w:t>NEAC heard from submitters that a</w:t>
      </w:r>
      <w:r w:rsidRPr="008565C1">
        <w:rPr>
          <w:rFonts w:cs="Arial"/>
        </w:rPr>
        <w:t xml:space="preserve">n ethical </w:t>
      </w:r>
      <w:r>
        <w:rPr>
          <w:rFonts w:cs="Arial"/>
        </w:rPr>
        <w:t>F</w:t>
      </w:r>
      <w:r w:rsidRPr="008565C1">
        <w:rPr>
          <w:rFonts w:cs="Arial"/>
        </w:rPr>
        <w:t xml:space="preserve">ramework </w:t>
      </w:r>
      <w:r>
        <w:rPr>
          <w:rFonts w:cs="Arial"/>
        </w:rPr>
        <w:t>that</w:t>
      </w:r>
      <w:r w:rsidRPr="008565C1">
        <w:rPr>
          <w:rFonts w:cs="Arial"/>
        </w:rPr>
        <w:t xml:space="preserve"> specifically addresses equity in a pandemic is very much needed</w:t>
      </w:r>
      <w:r>
        <w:rPr>
          <w:rFonts w:cs="Arial"/>
        </w:rPr>
        <w:t xml:space="preserve">. Overall, most submitters felt that the Framework addressed most, if not all, of the ethical tensions identified, and applauded </w:t>
      </w:r>
      <w:r w:rsidRPr="008565C1">
        <w:rPr>
          <w:rFonts w:cs="Arial"/>
        </w:rPr>
        <w:t xml:space="preserve">the explicit naming of the tensions between </w:t>
      </w:r>
      <w:r>
        <w:rPr>
          <w:rFonts w:cs="Arial"/>
        </w:rPr>
        <w:t xml:space="preserve">equity </w:t>
      </w:r>
      <w:r w:rsidRPr="008565C1">
        <w:rPr>
          <w:rFonts w:cs="Arial"/>
        </w:rPr>
        <w:t>and utility.</w:t>
      </w:r>
      <w:r>
        <w:rPr>
          <w:rFonts w:cs="Arial"/>
        </w:rPr>
        <w:t xml:space="preserve"> </w:t>
      </w:r>
    </w:p>
    <w:p w14:paraId="77740E92" w14:textId="77777777" w:rsidR="00966826" w:rsidRPr="008565C1" w:rsidRDefault="00966826" w:rsidP="00966826">
      <w:pPr>
        <w:autoSpaceDE w:val="0"/>
        <w:autoSpaceDN w:val="0"/>
        <w:adjustRightInd w:val="0"/>
        <w:rPr>
          <w:rFonts w:cs="Arial"/>
        </w:rPr>
      </w:pPr>
    </w:p>
    <w:p w14:paraId="3A5FF5BE" w14:textId="77777777" w:rsidR="00966826" w:rsidRDefault="00966826" w:rsidP="00966826">
      <w:pPr>
        <w:autoSpaceDE w:val="0"/>
        <w:autoSpaceDN w:val="0"/>
        <w:adjustRightInd w:val="0"/>
        <w:rPr>
          <w:rFonts w:cs="Arial"/>
        </w:rPr>
      </w:pPr>
      <w:r>
        <w:rPr>
          <w:rFonts w:cs="Arial"/>
        </w:rPr>
        <w:t>Overall submitters agreed that the</w:t>
      </w:r>
      <w:r w:rsidRPr="008565C1">
        <w:rPr>
          <w:rFonts w:cs="Arial"/>
        </w:rPr>
        <w:t xml:space="preserve"> </w:t>
      </w:r>
      <w:r>
        <w:rPr>
          <w:rFonts w:cs="Arial"/>
        </w:rPr>
        <w:t>F</w:t>
      </w:r>
      <w:r w:rsidRPr="008565C1">
        <w:rPr>
          <w:rFonts w:cs="Arial"/>
        </w:rPr>
        <w:t xml:space="preserve">ramework </w:t>
      </w:r>
      <w:r>
        <w:rPr>
          <w:rFonts w:cs="Arial"/>
        </w:rPr>
        <w:t xml:space="preserve">is helpful and </w:t>
      </w:r>
      <w:r w:rsidRPr="008565C1">
        <w:rPr>
          <w:rFonts w:cs="Arial"/>
        </w:rPr>
        <w:t xml:space="preserve">provides guidance on how to apply </w:t>
      </w:r>
      <w:r>
        <w:rPr>
          <w:rFonts w:cs="Arial"/>
        </w:rPr>
        <w:t>an</w:t>
      </w:r>
      <w:r w:rsidRPr="008565C1">
        <w:rPr>
          <w:rFonts w:cs="Arial"/>
        </w:rPr>
        <w:t xml:space="preserve"> equity lens to </w:t>
      </w:r>
      <w:r>
        <w:rPr>
          <w:rFonts w:cs="Arial"/>
        </w:rPr>
        <w:t xml:space="preserve">the </w:t>
      </w:r>
      <w:r w:rsidRPr="008565C1">
        <w:rPr>
          <w:rFonts w:cs="Arial"/>
        </w:rPr>
        <w:t>allocation of resources</w:t>
      </w:r>
      <w:r>
        <w:rPr>
          <w:rFonts w:cs="Arial"/>
        </w:rPr>
        <w:t xml:space="preserve">. Submitters also agreed with the approach of acknowledging </w:t>
      </w:r>
      <w:r w:rsidRPr="008565C1">
        <w:rPr>
          <w:rFonts w:cs="Arial"/>
        </w:rPr>
        <w:t xml:space="preserve">the importance of making decisions that do not exacerbate </w:t>
      </w:r>
      <w:r>
        <w:rPr>
          <w:rFonts w:cs="Arial"/>
        </w:rPr>
        <w:t xml:space="preserve">existing </w:t>
      </w:r>
      <w:r w:rsidRPr="008565C1">
        <w:rPr>
          <w:rFonts w:cs="Arial"/>
        </w:rPr>
        <w:t>inequit</w:t>
      </w:r>
      <w:r>
        <w:rPr>
          <w:rFonts w:cs="Arial"/>
        </w:rPr>
        <w:t>ies</w:t>
      </w:r>
      <w:r w:rsidRPr="008565C1">
        <w:rPr>
          <w:rFonts w:cs="Arial"/>
        </w:rPr>
        <w:t xml:space="preserve">. </w:t>
      </w:r>
      <w:r>
        <w:rPr>
          <w:rFonts w:cs="Arial"/>
        </w:rPr>
        <w:t xml:space="preserve">Most submitters </w:t>
      </w:r>
      <w:r w:rsidRPr="008565C1">
        <w:rPr>
          <w:rFonts w:cs="Arial"/>
        </w:rPr>
        <w:t xml:space="preserve">supported the </w:t>
      </w:r>
      <w:r>
        <w:rPr>
          <w:rFonts w:cs="Arial"/>
        </w:rPr>
        <w:t>F</w:t>
      </w:r>
      <w:r w:rsidRPr="008565C1">
        <w:rPr>
          <w:rFonts w:cs="Arial"/>
        </w:rPr>
        <w:t>ramework</w:t>
      </w:r>
      <w:r>
        <w:rPr>
          <w:rFonts w:cs="Arial"/>
        </w:rPr>
        <w:t>’s</w:t>
      </w:r>
      <w:r w:rsidRPr="008565C1">
        <w:rPr>
          <w:rFonts w:cs="Arial"/>
        </w:rPr>
        <w:t xml:space="preserve"> </w:t>
      </w:r>
      <w:r>
        <w:rPr>
          <w:rFonts w:cs="Arial"/>
        </w:rPr>
        <w:t xml:space="preserve">commitment to </w:t>
      </w:r>
      <w:r w:rsidRPr="008565C1">
        <w:rPr>
          <w:rFonts w:cs="Arial"/>
        </w:rPr>
        <w:t>achieving equity</w:t>
      </w:r>
      <w:r>
        <w:rPr>
          <w:rFonts w:cs="Arial"/>
        </w:rPr>
        <w:t>,</w:t>
      </w:r>
      <w:r w:rsidRPr="008565C1">
        <w:rPr>
          <w:rFonts w:cs="Arial"/>
        </w:rPr>
        <w:t xml:space="preserve"> and </w:t>
      </w:r>
      <w:r>
        <w:rPr>
          <w:rFonts w:cs="Arial"/>
        </w:rPr>
        <w:t>its description</w:t>
      </w:r>
      <w:r w:rsidRPr="008565C1">
        <w:rPr>
          <w:rFonts w:cs="Arial"/>
        </w:rPr>
        <w:t xml:space="preserve"> o</w:t>
      </w:r>
      <w:r>
        <w:rPr>
          <w:rFonts w:cs="Arial"/>
        </w:rPr>
        <w:t>f</w:t>
      </w:r>
      <w:r w:rsidRPr="008565C1">
        <w:rPr>
          <w:rFonts w:cs="Arial"/>
        </w:rPr>
        <w:t xml:space="preserve"> </w:t>
      </w:r>
      <w:r>
        <w:rPr>
          <w:rFonts w:cs="Arial"/>
        </w:rPr>
        <w:t xml:space="preserve">equity </w:t>
      </w:r>
      <w:r w:rsidRPr="008565C1">
        <w:rPr>
          <w:rFonts w:cs="Arial"/>
        </w:rPr>
        <w:t xml:space="preserve">issues </w:t>
      </w:r>
      <w:r>
        <w:rPr>
          <w:rFonts w:cs="Arial"/>
        </w:rPr>
        <w:t>(</w:t>
      </w:r>
      <w:r w:rsidRPr="008565C1">
        <w:rPr>
          <w:rFonts w:cs="Arial"/>
        </w:rPr>
        <w:t>with the examples of allocation of personal protective equipment</w:t>
      </w:r>
      <w:r>
        <w:rPr>
          <w:rFonts w:cs="Arial"/>
        </w:rPr>
        <w:t xml:space="preserve"> (PPE)</w:t>
      </w:r>
      <w:r w:rsidRPr="008565C1">
        <w:rPr>
          <w:rFonts w:cs="Arial"/>
        </w:rPr>
        <w:t xml:space="preserve"> </w:t>
      </w:r>
      <w:r>
        <w:rPr>
          <w:rFonts w:cs="Arial"/>
        </w:rPr>
        <w:t xml:space="preserve">in a clinical context). However, many submitters thought the Framework should go further in this </w:t>
      </w:r>
      <w:proofErr w:type="gramStart"/>
      <w:r>
        <w:rPr>
          <w:rFonts w:cs="Arial"/>
        </w:rPr>
        <w:t>regard, and</w:t>
      </w:r>
      <w:proofErr w:type="gramEnd"/>
      <w:r>
        <w:rPr>
          <w:rFonts w:cs="Arial"/>
        </w:rPr>
        <w:t xml:space="preserve"> suggested constructive amendments accordingly. </w:t>
      </w:r>
    </w:p>
    <w:p w14:paraId="0E6359DC" w14:textId="77777777" w:rsidR="00966826" w:rsidRPr="0060061A" w:rsidRDefault="00966826" w:rsidP="00966826">
      <w:pPr>
        <w:autoSpaceDE w:val="0"/>
        <w:autoSpaceDN w:val="0"/>
        <w:adjustRightInd w:val="0"/>
        <w:rPr>
          <w:rFonts w:cs="Arial"/>
        </w:rPr>
      </w:pPr>
    </w:p>
    <w:p w14:paraId="147B0C9D" w14:textId="632ECC35" w:rsidR="00966826" w:rsidRDefault="00966826" w:rsidP="00966826">
      <w:pPr>
        <w:rPr>
          <w:rFonts w:eastAsiaTheme="minorEastAsia"/>
        </w:rPr>
      </w:pPr>
      <w:r>
        <w:rPr>
          <w:rFonts w:eastAsiaTheme="minorEastAsia"/>
        </w:rPr>
        <w:t xml:space="preserve">NEAC is proud that many submitters supported the Framework’s </w:t>
      </w:r>
      <w:r w:rsidRPr="008565C1">
        <w:rPr>
          <w:rFonts w:eastAsiaTheme="minorEastAsia"/>
        </w:rPr>
        <w:t xml:space="preserve">recognition </w:t>
      </w:r>
      <w:r>
        <w:rPr>
          <w:rFonts w:eastAsiaTheme="minorEastAsia"/>
        </w:rPr>
        <w:t xml:space="preserve">and emphasis </w:t>
      </w:r>
      <w:r w:rsidRPr="008565C1">
        <w:rPr>
          <w:rFonts w:eastAsiaTheme="minorEastAsia"/>
        </w:rPr>
        <w:t xml:space="preserve">of </w:t>
      </w:r>
      <w:proofErr w:type="spellStart"/>
      <w:r w:rsidRPr="008565C1">
        <w:rPr>
          <w:rFonts w:eastAsiaTheme="minorEastAsia"/>
        </w:rPr>
        <w:t>Te</w:t>
      </w:r>
      <w:proofErr w:type="spellEnd"/>
      <w:r w:rsidRPr="008565C1">
        <w:rPr>
          <w:rFonts w:eastAsiaTheme="minorEastAsia"/>
        </w:rPr>
        <w:t xml:space="preserve"> </w:t>
      </w:r>
      <w:proofErr w:type="spellStart"/>
      <w:r w:rsidRPr="008565C1">
        <w:rPr>
          <w:rFonts w:eastAsiaTheme="minorEastAsia"/>
        </w:rPr>
        <w:t>Tiriti</w:t>
      </w:r>
      <w:proofErr w:type="spellEnd"/>
      <w:r w:rsidRPr="008565C1">
        <w:rPr>
          <w:rFonts w:eastAsiaTheme="minorEastAsia"/>
        </w:rPr>
        <w:t xml:space="preserve"> o Waitangi, </w:t>
      </w:r>
      <w:r>
        <w:rPr>
          <w:rFonts w:eastAsiaTheme="minorEastAsia"/>
        </w:rPr>
        <w:t xml:space="preserve">its recognition of </w:t>
      </w:r>
      <w:r w:rsidRPr="009C28CB">
        <w:rPr>
          <w:rFonts w:eastAsiaTheme="minorEastAsia"/>
        </w:rPr>
        <w:t xml:space="preserve">the need to </w:t>
      </w:r>
      <w:proofErr w:type="spellStart"/>
      <w:r w:rsidRPr="009C28CB">
        <w:rPr>
          <w:rFonts w:eastAsiaTheme="minorEastAsia"/>
        </w:rPr>
        <w:t>honor</w:t>
      </w:r>
      <w:proofErr w:type="spellEnd"/>
      <w:r w:rsidRPr="009C28CB">
        <w:rPr>
          <w:rFonts w:eastAsiaTheme="minorEastAsia"/>
        </w:rPr>
        <w:t xml:space="preserve"> the Governments’ obligations to equal partnership and </w:t>
      </w:r>
      <w:r>
        <w:rPr>
          <w:rFonts w:eastAsiaTheme="minorEastAsia"/>
        </w:rPr>
        <w:t xml:space="preserve">its </w:t>
      </w:r>
      <w:r w:rsidRPr="009C28CB">
        <w:rPr>
          <w:rFonts w:eastAsiaTheme="minorEastAsia"/>
        </w:rPr>
        <w:t xml:space="preserve">acknowledgment of Māori rights and interests. </w:t>
      </w:r>
      <w:r w:rsidRPr="008565C1">
        <w:rPr>
          <w:rFonts w:eastAsiaTheme="minorEastAsia"/>
        </w:rPr>
        <w:t xml:space="preserve">While the </w:t>
      </w:r>
      <w:r>
        <w:rPr>
          <w:rFonts w:eastAsiaTheme="minorEastAsia"/>
        </w:rPr>
        <w:t>F</w:t>
      </w:r>
      <w:r w:rsidRPr="008565C1">
        <w:rPr>
          <w:rFonts w:eastAsiaTheme="minorEastAsia"/>
        </w:rPr>
        <w:t xml:space="preserve">ramework is concerned with a specific set of circumstances, </w:t>
      </w:r>
      <w:r>
        <w:rPr>
          <w:rFonts w:eastAsiaTheme="minorEastAsia"/>
        </w:rPr>
        <w:t>submitters commended NEAC’s</w:t>
      </w:r>
      <w:r w:rsidRPr="008565C1">
        <w:rPr>
          <w:rFonts w:eastAsiaTheme="minorEastAsia"/>
        </w:rPr>
        <w:t xml:space="preserve"> acknowledgement that </w:t>
      </w:r>
      <w:proofErr w:type="spellStart"/>
      <w:r w:rsidRPr="008565C1">
        <w:rPr>
          <w:rFonts w:eastAsiaTheme="minorEastAsia"/>
        </w:rPr>
        <w:t>Te</w:t>
      </w:r>
      <w:proofErr w:type="spellEnd"/>
      <w:r w:rsidRPr="008565C1">
        <w:rPr>
          <w:rFonts w:eastAsiaTheme="minorEastAsia"/>
        </w:rPr>
        <w:t xml:space="preserve"> </w:t>
      </w:r>
      <w:proofErr w:type="spellStart"/>
      <w:r w:rsidRPr="008565C1">
        <w:rPr>
          <w:rFonts w:eastAsiaTheme="minorEastAsia"/>
        </w:rPr>
        <w:t>Tiriti</w:t>
      </w:r>
      <w:proofErr w:type="spellEnd"/>
      <w:r w:rsidRPr="008565C1">
        <w:rPr>
          <w:rFonts w:eastAsiaTheme="minorEastAsia"/>
        </w:rPr>
        <w:t xml:space="preserve"> principles and related decisions sit within a wider </w:t>
      </w:r>
      <w:proofErr w:type="gramStart"/>
      <w:r w:rsidRPr="008565C1">
        <w:rPr>
          <w:rFonts w:eastAsiaTheme="minorEastAsia"/>
        </w:rPr>
        <w:t>context</w:t>
      </w:r>
      <w:r>
        <w:rPr>
          <w:rFonts w:eastAsiaTheme="minorEastAsia"/>
        </w:rPr>
        <w:t>,</w:t>
      </w:r>
      <w:r w:rsidRPr="008565C1">
        <w:rPr>
          <w:rFonts w:eastAsiaTheme="minorEastAsia"/>
        </w:rPr>
        <w:t xml:space="preserve"> and</w:t>
      </w:r>
      <w:proofErr w:type="gramEnd"/>
      <w:r w:rsidRPr="008565C1">
        <w:rPr>
          <w:rFonts w:eastAsiaTheme="minorEastAsia"/>
        </w:rPr>
        <w:t xml:space="preserve"> require consideration of determinants of health and drivers of inequity. </w:t>
      </w:r>
    </w:p>
    <w:p w14:paraId="155D08D0" w14:textId="77777777" w:rsidR="00966826" w:rsidRPr="0098239A" w:rsidRDefault="00966826" w:rsidP="00966826">
      <w:pPr>
        <w:rPr>
          <w:rFonts w:eastAsiaTheme="minorEastAsia"/>
          <w:b/>
        </w:rPr>
      </w:pPr>
    </w:p>
    <w:p w14:paraId="4F9FA5A5" w14:textId="77777777" w:rsidR="00966826" w:rsidRDefault="00966826" w:rsidP="00966826">
      <w:pPr>
        <w:rPr>
          <w:rFonts w:cs="Arial"/>
          <w:color w:val="000000"/>
        </w:rPr>
      </w:pPr>
      <w:r>
        <w:rPr>
          <w:rFonts w:cs="Arial"/>
          <w:color w:val="000000"/>
        </w:rPr>
        <w:t xml:space="preserve">Submitters </w:t>
      </w:r>
      <w:r w:rsidRPr="008565C1">
        <w:rPr>
          <w:rFonts w:cs="Arial"/>
          <w:color w:val="000000"/>
        </w:rPr>
        <w:t xml:space="preserve">agreed </w:t>
      </w:r>
      <w:r>
        <w:rPr>
          <w:rFonts w:cs="Arial"/>
          <w:color w:val="000000"/>
        </w:rPr>
        <w:t xml:space="preserve">that a </w:t>
      </w:r>
      <w:r w:rsidRPr="008565C1">
        <w:rPr>
          <w:rFonts w:cs="Arial"/>
          <w:color w:val="000000"/>
        </w:rPr>
        <w:t xml:space="preserve">foundational </w:t>
      </w:r>
      <w:r>
        <w:rPr>
          <w:rFonts w:cs="Arial"/>
          <w:color w:val="000000"/>
        </w:rPr>
        <w:t>F</w:t>
      </w:r>
      <w:r w:rsidRPr="008565C1">
        <w:rPr>
          <w:rFonts w:cs="Arial"/>
          <w:color w:val="000000"/>
        </w:rPr>
        <w:t xml:space="preserve">ramework for decision making will: </w:t>
      </w:r>
    </w:p>
    <w:p w14:paraId="0A8CFEA6" w14:textId="77777777" w:rsidR="00966826" w:rsidRDefault="00966826" w:rsidP="00966826">
      <w:pPr>
        <w:pStyle w:val="Bullet"/>
      </w:pPr>
      <w:r w:rsidRPr="0060061A">
        <w:t>ensur</w:t>
      </w:r>
      <w:r>
        <w:t>e</w:t>
      </w:r>
      <w:r w:rsidRPr="0060061A">
        <w:t xml:space="preserve"> different and competing foundational ethical principles are considered, and any tensions between them identified</w:t>
      </w:r>
      <w:r>
        <w:t>,</w:t>
      </w:r>
    </w:p>
    <w:p w14:paraId="5E11CD1E" w14:textId="77777777" w:rsidR="00966826" w:rsidRDefault="00966826" w:rsidP="00966826">
      <w:pPr>
        <w:pStyle w:val="Bullet"/>
      </w:pPr>
      <w:r w:rsidRPr="0060061A">
        <w:t>provid</w:t>
      </w:r>
      <w:r>
        <w:t>e</w:t>
      </w:r>
      <w:r w:rsidRPr="0060061A">
        <w:t xml:space="preserve"> </w:t>
      </w:r>
      <w:r>
        <w:t xml:space="preserve">helpful </w:t>
      </w:r>
      <w:r w:rsidRPr="0060061A">
        <w:t>structure for debating complex questions</w:t>
      </w:r>
      <w:r>
        <w:t xml:space="preserve"> </w:t>
      </w:r>
    </w:p>
    <w:p w14:paraId="6BF6D52F" w14:textId="77777777" w:rsidR="00966826" w:rsidRPr="00313EC9" w:rsidRDefault="00966826" w:rsidP="00966826">
      <w:pPr>
        <w:pStyle w:val="Bullet"/>
      </w:pPr>
      <w:r w:rsidRPr="0060061A">
        <w:t>facilitat</w:t>
      </w:r>
      <w:r>
        <w:t>e</w:t>
      </w:r>
      <w:r w:rsidRPr="0060061A">
        <w:t xml:space="preserve"> more transparent arguments and reasoning, including </w:t>
      </w:r>
      <w:r>
        <w:t xml:space="preserve">through </w:t>
      </w:r>
      <w:r w:rsidRPr="0060061A">
        <w:t xml:space="preserve">delineating the role of evidence from the role of values in the arguments presented. </w:t>
      </w:r>
    </w:p>
    <w:p w14:paraId="775D4B61" w14:textId="77777777" w:rsidR="00966826" w:rsidRPr="00313EC9" w:rsidRDefault="00966826" w:rsidP="00966826">
      <w:pPr>
        <w:pStyle w:val="Heading2"/>
      </w:pPr>
      <w:bookmarkStart w:id="24" w:name="_Toc50025108"/>
      <w:bookmarkStart w:id="25" w:name="_Toc50491731"/>
      <w:r>
        <w:t>Balancing and weighting of principles</w:t>
      </w:r>
      <w:bookmarkEnd w:id="24"/>
      <w:bookmarkEnd w:id="25"/>
    </w:p>
    <w:p w14:paraId="5121CA3D" w14:textId="2D27DB32" w:rsidR="00966826" w:rsidRDefault="00966826" w:rsidP="00966826">
      <w:pPr>
        <w:rPr>
          <w:rFonts w:cs="Arial"/>
        </w:rPr>
      </w:pPr>
      <w:r>
        <w:rPr>
          <w:rFonts w:cs="Arial"/>
        </w:rPr>
        <w:t>NEAC sought submitters’ g</w:t>
      </w:r>
      <w:r w:rsidRPr="00377975">
        <w:rPr>
          <w:rFonts w:cs="Arial"/>
        </w:rPr>
        <w:t xml:space="preserve">uidance on how to </w:t>
      </w:r>
      <w:r w:rsidRPr="00332458">
        <w:rPr>
          <w:rFonts w:cs="Arial"/>
        </w:rPr>
        <w:t>weigh the ethical</w:t>
      </w:r>
      <w:r w:rsidRPr="00377975">
        <w:rPr>
          <w:rFonts w:cs="Arial"/>
        </w:rPr>
        <w:t xml:space="preserve"> principles</w:t>
      </w:r>
      <w:r>
        <w:rPr>
          <w:rFonts w:cs="Arial"/>
        </w:rPr>
        <w:t xml:space="preserve"> involved</w:t>
      </w:r>
      <w:r w:rsidRPr="00377975">
        <w:rPr>
          <w:rFonts w:cs="Arial"/>
        </w:rPr>
        <w:t xml:space="preserve"> and how the tensions, or even contradictions between them, can be managed. </w:t>
      </w:r>
      <w:r>
        <w:rPr>
          <w:rFonts w:cs="Arial"/>
        </w:rPr>
        <w:t>While m</w:t>
      </w:r>
      <w:r w:rsidRPr="00377975">
        <w:rPr>
          <w:rFonts w:cs="Arial"/>
        </w:rPr>
        <w:t>ost submitters agreed that the Framework helps decision-makers understand the ethical implications of decisions and that being aware of these tensions was part of good decision</w:t>
      </w:r>
      <w:r>
        <w:rPr>
          <w:rFonts w:cs="Arial"/>
        </w:rPr>
        <w:t>-</w:t>
      </w:r>
      <w:r w:rsidRPr="00377975">
        <w:rPr>
          <w:rFonts w:cs="Arial"/>
        </w:rPr>
        <w:t xml:space="preserve">making, a number noted that beyond </w:t>
      </w:r>
      <w:r>
        <w:rPr>
          <w:rFonts w:cs="Arial"/>
        </w:rPr>
        <w:t xml:space="preserve">noting tensions and </w:t>
      </w:r>
      <w:r w:rsidRPr="00377975">
        <w:rPr>
          <w:rFonts w:cs="Arial"/>
        </w:rPr>
        <w:t xml:space="preserve">suggesting a decision-making group, the Framework does not provide clear guidelines on how </w:t>
      </w:r>
      <w:r>
        <w:rPr>
          <w:rFonts w:cs="Arial"/>
        </w:rPr>
        <w:t xml:space="preserve">exactly </w:t>
      </w:r>
      <w:r w:rsidRPr="00377975">
        <w:rPr>
          <w:rFonts w:cs="Arial"/>
        </w:rPr>
        <w:t xml:space="preserve">to weigh, navigate, resolve or address </w:t>
      </w:r>
      <w:r>
        <w:rPr>
          <w:rFonts w:cs="Arial"/>
        </w:rPr>
        <w:t>tensions</w:t>
      </w:r>
      <w:r w:rsidRPr="00377975">
        <w:rPr>
          <w:rFonts w:cs="Arial"/>
        </w:rPr>
        <w:t xml:space="preserve">. </w:t>
      </w:r>
    </w:p>
    <w:p w14:paraId="6D10D983" w14:textId="77777777" w:rsidR="00966826" w:rsidRPr="00377975" w:rsidRDefault="00966826" w:rsidP="00966826">
      <w:pPr>
        <w:rPr>
          <w:rFonts w:cs="Arial"/>
        </w:rPr>
      </w:pPr>
    </w:p>
    <w:p w14:paraId="185865B2" w14:textId="77777777" w:rsidR="00966826" w:rsidRPr="00313EC9" w:rsidRDefault="00966826" w:rsidP="00966826">
      <w:pPr>
        <w:rPr>
          <w:rFonts w:cs="Arial"/>
        </w:rPr>
      </w:pPr>
      <w:r>
        <w:rPr>
          <w:rFonts w:cs="Arial"/>
        </w:rPr>
        <w:t>One submitter noted that t</w:t>
      </w:r>
      <w:r w:rsidRPr="00377975">
        <w:rPr>
          <w:rFonts w:cs="Arial"/>
        </w:rPr>
        <w:t xml:space="preserve">he </w:t>
      </w:r>
      <w:r>
        <w:rPr>
          <w:rFonts w:cs="Arial"/>
        </w:rPr>
        <w:t>F</w:t>
      </w:r>
      <w:r w:rsidRPr="00377975">
        <w:rPr>
          <w:rFonts w:cs="Arial"/>
        </w:rPr>
        <w:t xml:space="preserve">ramework </w:t>
      </w:r>
      <w:r>
        <w:rPr>
          <w:rFonts w:cs="Arial"/>
        </w:rPr>
        <w:t xml:space="preserve">does not clearly differentiate between the distribution of scarce resources in the clinical setting and that process in the </w:t>
      </w:r>
      <w:r w:rsidRPr="00377975">
        <w:rPr>
          <w:rFonts w:cs="Arial"/>
        </w:rPr>
        <w:lastRenderedPageBreak/>
        <w:t>community setting</w:t>
      </w:r>
      <w:r>
        <w:rPr>
          <w:rFonts w:cs="Arial"/>
        </w:rPr>
        <w:t>;</w:t>
      </w:r>
      <w:r w:rsidRPr="00377975">
        <w:rPr>
          <w:rFonts w:cs="Arial"/>
        </w:rPr>
        <w:t xml:space="preserve"> </w:t>
      </w:r>
      <w:r>
        <w:rPr>
          <w:rFonts w:cs="Arial"/>
        </w:rPr>
        <w:t xml:space="preserve">for example, if affected people </w:t>
      </w:r>
      <w:r w:rsidRPr="00377975">
        <w:rPr>
          <w:rFonts w:cs="Arial"/>
        </w:rPr>
        <w:t xml:space="preserve">decide to stay at home with their </w:t>
      </w:r>
      <w:proofErr w:type="spellStart"/>
      <w:r w:rsidRPr="00377975">
        <w:rPr>
          <w:rFonts w:cs="Arial"/>
        </w:rPr>
        <w:t>wh</w:t>
      </w:r>
      <w:r w:rsidRPr="001D6FFA">
        <w:t>ā</w:t>
      </w:r>
      <w:r w:rsidRPr="00377975">
        <w:rPr>
          <w:rFonts w:cs="Arial"/>
        </w:rPr>
        <w:t>nau</w:t>
      </w:r>
      <w:proofErr w:type="spellEnd"/>
      <w:r w:rsidRPr="00377975">
        <w:rPr>
          <w:rFonts w:cs="Arial"/>
        </w:rPr>
        <w:t xml:space="preserve"> </w:t>
      </w:r>
      <w:r>
        <w:rPr>
          <w:rFonts w:cs="Arial"/>
        </w:rPr>
        <w:t xml:space="preserve">instead of going </w:t>
      </w:r>
      <w:r w:rsidRPr="00377975">
        <w:rPr>
          <w:rFonts w:cs="Arial"/>
        </w:rPr>
        <w:t xml:space="preserve">to the hospital. </w:t>
      </w:r>
    </w:p>
    <w:p w14:paraId="124227D9" w14:textId="77777777" w:rsidR="00966826" w:rsidRPr="00313EC9" w:rsidRDefault="00966826" w:rsidP="00966826">
      <w:pPr>
        <w:pStyle w:val="Heading2"/>
      </w:pPr>
      <w:bookmarkStart w:id="26" w:name="_Toc50025109"/>
      <w:bookmarkStart w:id="27" w:name="_Toc50491732"/>
      <w:r>
        <w:t>Context – existing landscape and dominant values</w:t>
      </w:r>
      <w:bookmarkEnd w:id="26"/>
      <w:bookmarkEnd w:id="27"/>
      <w:r>
        <w:t xml:space="preserve"> </w:t>
      </w:r>
    </w:p>
    <w:p w14:paraId="0EFF5C91" w14:textId="3A757A51" w:rsidR="00966826" w:rsidRDefault="00966826" w:rsidP="00966826">
      <w:pPr>
        <w:rPr>
          <w:rFonts w:cs="Arial"/>
        </w:rPr>
      </w:pPr>
      <w:r w:rsidRPr="00377975">
        <w:rPr>
          <w:rFonts w:cs="Arial"/>
        </w:rPr>
        <w:t>Some submitters provided feedback about the context of the document. This was understood in two ways</w:t>
      </w:r>
      <w:r>
        <w:rPr>
          <w:rFonts w:cs="Arial"/>
        </w:rPr>
        <w:t>:</w:t>
      </w:r>
      <w:r w:rsidRPr="00377975">
        <w:rPr>
          <w:rFonts w:cs="Arial"/>
        </w:rPr>
        <w:t xml:space="preserve"> first </w:t>
      </w:r>
      <w:r>
        <w:rPr>
          <w:rFonts w:cs="Arial"/>
        </w:rPr>
        <w:t xml:space="preserve">in relation </w:t>
      </w:r>
      <w:r w:rsidRPr="00377975">
        <w:rPr>
          <w:rFonts w:cs="Arial"/>
        </w:rPr>
        <w:t xml:space="preserve">to the existing resource allocation and prioritisation landscape, both institutionally and </w:t>
      </w:r>
      <w:proofErr w:type="gramStart"/>
      <w:r w:rsidRPr="00377975">
        <w:rPr>
          <w:rFonts w:cs="Arial"/>
        </w:rPr>
        <w:t>taking into account</w:t>
      </w:r>
      <w:proofErr w:type="gramEnd"/>
      <w:r w:rsidRPr="00377975">
        <w:rPr>
          <w:rFonts w:cs="Arial"/>
        </w:rPr>
        <w:t xml:space="preserve"> existing tools, methods and frameworks</w:t>
      </w:r>
      <w:r>
        <w:rPr>
          <w:rFonts w:cs="Arial"/>
        </w:rPr>
        <w:t xml:space="preserve">, and second in relation </w:t>
      </w:r>
      <w:r w:rsidRPr="00AE2F96">
        <w:rPr>
          <w:rFonts w:cs="Arial"/>
        </w:rPr>
        <w:t xml:space="preserve">to </w:t>
      </w:r>
      <w:r>
        <w:rPr>
          <w:rFonts w:cs="Arial"/>
        </w:rPr>
        <w:t>the dominant value system that the framework sits in.</w:t>
      </w:r>
    </w:p>
    <w:p w14:paraId="47E2357D" w14:textId="77777777" w:rsidR="00966826" w:rsidRPr="00377975" w:rsidRDefault="00966826" w:rsidP="00966826">
      <w:pPr>
        <w:rPr>
          <w:rFonts w:cs="Arial"/>
        </w:rPr>
      </w:pPr>
    </w:p>
    <w:p w14:paraId="758EEB02" w14:textId="4C2AE1DD" w:rsidR="00966826" w:rsidRDefault="00966826" w:rsidP="00966826">
      <w:pPr>
        <w:rPr>
          <w:rFonts w:cs="Arial"/>
        </w:rPr>
      </w:pPr>
      <w:r w:rsidRPr="00377975">
        <w:rPr>
          <w:rFonts w:cs="Arial"/>
        </w:rPr>
        <w:t xml:space="preserve">One submitter suggested that the Framework could catalogue approaches to prioritisation and rationing that are already used in the health system. </w:t>
      </w:r>
    </w:p>
    <w:p w14:paraId="2427B2E1" w14:textId="77777777" w:rsidR="00966826" w:rsidRDefault="00966826" w:rsidP="00966826">
      <w:pPr>
        <w:rPr>
          <w:rFonts w:cs="Arial"/>
        </w:rPr>
      </w:pPr>
    </w:p>
    <w:p w14:paraId="06DA9EBF" w14:textId="2206222E" w:rsidR="00966826" w:rsidRDefault="00966826" w:rsidP="00966826">
      <w:pPr>
        <w:rPr>
          <w:rFonts w:cs="Arial"/>
        </w:rPr>
      </w:pPr>
      <w:r>
        <w:rPr>
          <w:rFonts w:cs="Arial"/>
        </w:rPr>
        <w:t xml:space="preserve">Submitters highlighted the need to </w:t>
      </w:r>
      <w:proofErr w:type="gramStart"/>
      <w:r>
        <w:rPr>
          <w:rFonts w:cs="Arial"/>
        </w:rPr>
        <w:t>take into account</w:t>
      </w:r>
      <w:proofErr w:type="gramEnd"/>
      <w:r>
        <w:rPr>
          <w:rFonts w:cs="Arial"/>
        </w:rPr>
        <w:t xml:space="preserve"> reports that contain existing obligations and expectations; f</w:t>
      </w:r>
      <w:r w:rsidRPr="00377975">
        <w:rPr>
          <w:rFonts w:cs="Arial"/>
        </w:rPr>
        <w:t xml:space="preserve">or example, the Health and Disability System Review, and the </w:t>
      </w:r>
      <w:r>
        <w:rPr>
          <w:rFonts w:cs="Arial"/>
        </w:rPr>
        <w:t xml:space="preserve">Government’s </w:t>
      </w:r>
      <w:r w:rsidRPr="00377975">
        <w:rPr>
          <w:rFonts w:cs="Arial"/>
        </w:rPr>
        <w:t xml:space="preserve">subsequent commitment to implement its recommendations, has significantly shifted the </w:t>
      </w:r>
      <w:r>
        <w:rPr>
          <w:rFonts w:cs="Arial"/>
        </w:rPr>
        <w:t xml:space="preserve">health care </w:t>
      </w:r>
      <w:r w:rsidRPr="00377975">
        <w:rPr>
          <w:rFonts w:cs="Arial"/>
        </w:rPr>
        <w:t>landscape</w:t>
      </w:r>
      <w:r>
        <w:rPr>
          <w:rFonts w:cs="Arial"/>
        </w:rPr>
        <w:t xml:space="preserve"> and</w:t>
      </w:r>
      <w:r w:rsidRPr="00377975">
        <w:rPr>
          <w:rFonts w:cs="Arial"/>
        </w:rPr>
        <w:t xml:space="preserve"> presents an opportunity to address the structural issues that submitters </w:t>
      </w:r>
      <w:r>
        <w:rPr>
          <w:rFonts w:cs="Arial"/>
        </w:rPr>
        <w:t xml:space="preserve">also </w:t>
      </w:r>
      <w:r w:rsidRPr="00377975">
        <w:rPr>
          <w:rFonts w:cs="Arial"/>
        </w:rPr>
        <w:t>raised</w:t>
      </w:r>
      <w:r>
        <w:rPr>
          <w:rFonts w:cs="Arial"/>
        </w:rPr>
        <w:t xml:space="preserve"> in this consultation</w:t>
      </w:r>
      <w:r w:rsidRPr="00377975">
        <w:rPr>
          <w:rFonts w:cs="Arial"/>
        </w:rPr>
        <w:t>.</w:t>
      </w:r>
    </w:p>
    <w:p w14:paraId="6059FA47" w14:textId="77777777" w:rsidR="00966826" w:rsidRPr="00377975" w:rsidRDefault="00966826" w:rsidP="00966826">
      <w:pPr>
        <w:rPr>
          <w:rFonts w:cs="Arial"/>
        </w:rPr>
      </w:pPr>
    </w:p>
    <w:p w14:paraId="0C08B1F9" w14:textId="76E35F24" w:rsidR="00966826" w:rsidRDefault="00966826" w:rsidP="00966826">
      <w:r w:rsidRPr="00377975">
        <w:rPr>
          <w:rFonts w:cs="Arial"/>
        </w:rPr>
        <w:t xml:space="preserve">A number of submitters queried </w:t>
      </w:r>
      <w:r>
        <w:rPr>
          <w:rFonts w:cs="Arial"/>
        </w:rPr>
        <w:t xml:space="preserve">or </w:t>
      </w:r>
      <w:r w:rsidRPr="00377975">
        <w:rPr>
          <w:rFonts w:cs="Arial"/>
        </w:rPr>
        <w:t>discussed how to recognise equity in an unequal society</w:t>
      </w:r>
      <w:r>
        <w:rPr>
          <w:rFonts w:cs="Arial"/>
        </w:rPr>
        <w:t>,</w:t>
      </w:r>
      <w:r w:rsidRPr="00377975">
        <w:rPr>
          <w:rFonts w:cs="Arial"/>
        </w:rPr>
        <w:t xml:space="preserve"> </w:t>
      </w:r>
      <w:r>
        <w:rPr>
          <w:rFonts w:cs="Arial"/>
        </w:rPr>
        <w:t xml:space="preserve">particularly </w:t>
      </w:r>
      <w:r w:rsidRPr="00377975">
        <w:rPr>
          <w:rFonts w:cs="Arial"/>
        </w:rPr>
        <w:t xml:space="preserve">in </w:t>
      </w:r>
      <w:r>
        <w:rPr>
          <w:rFonts w:cs="Arial"/>
        </w:rPr>
        <w:t xml:space="preserve">the context of </w:t>
      </w:r>
      <w:r w:rsidRPr="00377975">
        <w:rPr>
          <w:rFonts w:cs="Arial"/>
        </w:rPr>
        <w:t>health</w:t>
      </w:r>
      <w:r>
        <w:rPr>
          <w:rFonts w:cs="Arial"/>
        </w:rPr>
        <w:t xml:space="preserve"> </w:t>
      </w:r>
      <w:r w:rsidRPr="00377975">
        <w:rPr>
          <w:rFonts w:cs="Arial"/>
        </w:rPr>
        <w:t xml:space="preserve">care. </w:t>
      </w:r>
      <w:r>
        <w:t>One submitter suggested that the cumulative impacts of health care decisions, and existing structural inequities within the health system, reflect the wider societal context, and that this should also be included in the Framework.</w:t>
      </w:r>
    </w:p>
    <w:p w14:paraId="0BC5D0C2" w14:textId="77777777" w:rsidR="00966826" w:rsidRPr="00152B1D" w:rsidRDefault="00966826" w:rsidP="00966826">
      <w:pPr>
        <w:rPr>
          <w:rFonts w:cs="Arial"/>
        </w:rPr>
      </w:pPr>
    </w:p>
    <w:p w14:paraId="44A053DB" w14:textId="3EE64C83" w:rsidR="00966826" w:rsidRDefault="00966826" w:rsidP="00966826">
      <w:r>
        <w:t xml:space="preserve">Some suggested that the Framework should explicitly state </w:t>
      </w:r>
      <w:r w:rsidRPr="00A20899">
        <w:t xml:space="preserve">that </w:t>
      </w:r>
      <w:r>
        <w:t xml:space="preserve">it operates </w:t>
      </w:r>
      <w:r w:rsidRPr="00A20899">
        <w:t xml:space="preserve">within an inequitable </w:t>
      </w:r>
      <w:proofErr w:type="gramStart"/>
      <w:r w:rsidRPr="00A20899">
        <w:t>system</w:t>
      </w:r>
      <w:r>
        <w:t>, and</w:t>
      </w:r>
      <w:proofErr w:type="gramEnd"/>
      <w:r>
        <w:t xml:space="preserve"> </w:t>
      </w:r>
      <w:r w:rsidRPr="00A20899">
        <w:t xml:space="preserve">acknowledge that some of </w:t>
      </w:r>
      <w:r>
        <w:t xml:space="preserve">its </w:t>
      </w:r>
      <w:r w:rsidRPr="00A20899">
        <w:t xml:space="preserve">values will be more embedded in the current system and therefore easier to implement than others, including </w:t>
      </w:r>
      <w:r>
        <w:t xml:space="preserve">that of </w:t>
      </w:r>
      <w:r w:rsidRPr="00A20899">
        <w:t>equity</w:t>
      </w:r>
      <w:r>
        <w:t xml:space="preserve">. It was noted that the current system prioritises efficiency, and that the tensions caused by valuing both efficiency and equity should be explored in further detail. </w:t>
      </w:r>
    </w:p>
    <w:p w14:paraId="2412139C" w14:textId="77777777" w:rsidR="00966826" w:rsidRDefault="00966826" w:rsidP="00966826"/>
    <w:p w14:paraId="55BDCD74" w14:textId="64870F3A" w:rsidR="00966826" w:rsidRDefault="00966826" w:rsidP="00966826">
      <w:r>
        <w:t xml:space="preserve">One submitter critiqued </w:t>
      </w:r>
      <w:proofErr w:type="gramStart"/>
      <w:r>
        <w:t>statements</w:t>
      </w:r>
      <w:proofErr w:type="gramEnd"/>
      <w:r>
        <w:t xml:space="preserve"> such as ‘all people are equally deserving of care’, saying that such statements worked in principle but contradicted by the numerous inequities certain groups experience within the health system. Another submitter suggested that such statements should be clarified so they could not be interpreted as prioritising efficiency over equity.</w:t>
      </w:r>
    </w:p>
    <w:p w14:paraId="2C600FD2" w14:textId="77777777" w:rsidR="00966826" w:rsidRDefault="00966826" w:rsidP="00966826"/>
    <w:p w14:paraId="6D7FAD42" w14:textId="77777777" w:rsidR="00966826" w:rsidRPr="00965780" w:rsidRDefault="00966826" w:rsidP="00966826">
      <w:pPr>
        <w:rPr>
          <w:rFonts w:cs="Arial"/>
          <w:color w:val="FF0000"/>
        </w:rPr>
      </w:pPr>
      <w:r>
        <w:t xml:space="preserve">A few submitters observed that </w:t>
      </w:r>
      <w:r w:rsidRPr="00B5594F">
        <w:t>the pandemic ha</w:t>
      </w:r>
      <w:r>
        <w:t>d</w:t>
      </w:r>
      <w:r w:rsidRPr="00B5594F">
        <w:t xml:space="preserve"> highlighted pre</w:t>
      </w:r>
      <w:r>
        <w:t>-</w:t>
      </w:r>
      <w:r w:rsidRPr="00B5594F">
        <w:t>COVID-19 resource allocation inequities</w:t>
      </w:r>
      <w:r>
        <w:t>,</w:t>
      </w:r>
      <w:r w:rsidRPr="00B5594F">
        <w:t xml:space="preserve"> </w:t>
      </w:r>
      <w:r>
        <w:t xml:space="preserve">in terms of </w:t>
      </w:r>
      <w:r w:rsidRPr="00B5594F">
        <w:t>housing</w:t>
      </w:r>
      <w:r>
        <w:t>,</w:t>
      </w:r>
      <w:r w:rsidRPr="00B5594F">
        <w:t xml:space="preserve"> hospital beds</w:t>
      </w:r>
      <w:r>
        <w:t xml:space="preserve"> and other resources that are seen as scarce in non-pandemic situations. One submitter expressed an opinion that some existing inequities had been solved as part of the response to COVID-19 (for instance, housing was found for the homeless so that they could meet the requirements of Alert Level 4). This submitter queried the system of pre-COVID-19 resource allocation and whether resources were as scarce as they were historically perceived to be. </w:t>
      </w:r>
    </w:p>
    <w:p w14:paraId="5626C02D" w14:textId="77777777" w:rsidR="00966826" w:rsidRDefault="00966826" w:rsidP="00966826">
      <w:pPr>
        <w:pStyle w:val="Heading2"/>
      </w:pPr>
      <w:bookmarkStart w:id="28" w:name="_Toc50025110"/>
      <w:bookmarkStart w:id="29" w:name="_Toc50491733"/>
      <w:r>
        <w:lastRenderedPageBreak/>
        <w:t>Visibility and acknowledgement of groups</w:t>
      </w:r>
      <w:bookmarkEnd w:id="28"/>
      <w:bookmarkEnd w:id="29"/>
    </w:p>
    <w:p w14:paraId="5A3F777D" w14:textId="7C4BA667" w:rsidR="00966826" w:rsidRDefault="00966826" w:rsidP="00966826">
      <w:pPr>
        <w:rPr>
          <w:rFonts w:cs="Arial"/>
        </w:rPr>
      </w:pPr>
      <w:r w:rsidRPr="00377975">
        <w:t xml:space="preserve">There was a strong call </w:t>
      </w:r>
      <w:r>
        <w:t xml:space="preserve">from many submitters </w:t>
      </w:r>
      <w:r w:rsidRPr="00377975">
        <w:t xml:space="preserve">to lift the visibility of </w:t>
      </w:r>
      <w:r w:rsidRPr="00377975">
        <w:rPr>
          <w:rFonts w:cs="Arial"/>
        </w:rPr>
        <w:t xml:space="preserve">specific groups impacted by a pandemic, either as part of the workforce responding to the pandemic or as </w:t>
      </w:r>
      <w:r>
        <w:rPr>
          <w:rFonts w:cs="Arial"/>
        </w:rPr>
        <w:t xml:space="preserve">a </w:t>
      </w:r>
      <w:r w:rsidRPr="00377975">
        <w:rPr>
          <w:rFonts w:cs="Arial"/>
        </w:rPr>
        <w:t>group</w:t>
      </w:r>
      <w:r>
        <w:rPr>
          <w:rFonts w:cs="Arial"/>
        </w:rPr>
        <w:t xml:space="preserve"> that has </w:t>
      </w:r>
      <w:r w:rsidRPr="00377975">
        <w:rPr>
          <w:rFonts w:cs="Arial"/>
        </w:rPr>
        <w:t xml:space="preserve">unique needs from a resource allocation perspective. </w:t>
      </w:r>
    </w:p>
    <w:p w14:paraId="7D3BC9AE" w14:textId="77777777" w:rsidR="00966826" w:rsidRPr="00377975" w:rsidRDefault="00966826" w:rsidP="00966826">
      <w:pPr>
        <w:rPr>
          <w:rFonts w:cs="Arial"/>
        </w:rPr>
      </w:pPr>
    </w:p>
    <w:p w14:paraId="4FD7CF80" w14:textId="77777777" w:rsidR="00966826" w:rsidRDefault="00966826" w:rsidP="00966826">
      <w:pPr>
        <w:autoSpaceDE w:val="0"/>
        <w:autoSpaceDN w:val="0"/>
        <w:adjustRightInd w:val="0"/>
        <w:rPr>
          <w:rFonts w:cs="Arial"/>
          <w:color w:val="000000"/>
        </w:rPr>
      </w:pPr>
      <w:r>
        <w:rPr>
          <w:rFonts w:cs="Arial"/>
          <w:color w:val="000000"/>
        </w:rPr>
        <w:t xml:space="preserve">Submitters suggested that guidance in the Framework should be expanded </w:t>
      </w:r>
      <w:r w:rsidRPr="008565C1">
        <w:rPr>
          <w:rFonts w:cs="Arial"/>
          <w:color w:val="000000"/>
        </w:rPr>
        <w:t xml:space="preserve">with reference to a more granular understanding of </w:t>
      </w:r>
      <w:r>
        <w:rPr>
          <w:rFonts w:cs="Arial"/>
          <w:color w:val="000000"/>
        </w:rPr>
        <w:t xml:space="preserve">New Zealand’s </w:t>
      </w:r>
      <w:r w:rsidRPr="008565C1">
        <w:rPr>
          <w:rFonts w:cs="Arial"/>
          <w:color w:val="000000"/>
        </w:rPr>
        <w:t>population make-up</w:t>
      </w:r>
      <w:r>
        <w:rPr>
          <w:rFonts w:cs="Arial"/>
          <w:color w:val="000000"/>
        </w:rPr>
        <w:t xml:space="preserve">. Some noted their opinion that the Framework should include reference to </w:t>
      </w:r>
      <w:r w:rsidRPr="00AC4FBA">
        <w:rPr>
          <w:rFonts w:cs="Arial"/>
          <w:color w:val="000000"/>
        </w:rPr>
        <w:t xml:space="preserve">all </w:t>
      </w:r>
      <w:r>
        <w:rPr>
          <w:rFonts w:cs="Arial"/>
          <w:color w:val="000000"/>
        </w:rPr>
        <w:t xml:space="preserve">instances of inequity in </w:t>
      </w:r>
      <w:r w:rsidRPr="00AC4FBA">
        <w:rPr>
          <w:rFonts w:cs="Arial"/>
          <w:color w:val="000000"/>
        </w:rPr>
        <w:t>New Zealanders, namely M</w:t>
      </w:r>
      <w:r w:rsidRPr="005A3F2A">
        <w:rPr>
          <w:rFonts w:cs="Arial"/>
          <w:color w:val="000000"/>
        </w:rPr>
        <w:t>ā</w:t>
      </w:r>
      <w:r w:rsidRPr="00AC4FBA">
        <w:rPr>
          <w:rFonts w:cs="Arial"/>
          <w:color w:val="000000"/>
        </w:rPr>
        <w:t>ori</w:t>
      </w:r>
      <w:r>
        <w:rPr>
          <w:rFonts w:cs="Arial"/>
          <w:color w:val="000000"/>
        </w:rPr>
        <w:t>;</w:t>
      </w:r>
      <w:r w:rsidRPr="00AC4FBA">
        <w:rPr>
          <w:rFonts w:cs="Arial"/>
          <w:color w:val="000000"/>
        </w:rPr>
        <w:t xml:space="preserve"> Pacific </w:t>
      </w:r>
      <w:r>
        <w:rPr>
          <w:rFonts w:cs="Arial"/>
          <w:color w:val="000000"/>
        </w:rPr>
        <w:t>p</w:t>
      </w:r>
      <w:r w:rsidRPr="00AC4FBA">
        <w:rPr>
          <w:rFonts w:cs="Arial"/>
          <w:color w:val="000000"/>
        </w:rPr>
        <w:t>eoples</w:t>
      </w:r>
      <w:r>
        <w:rPr>
          <w:rFonts w:cs="Arial"/>
          <w:color w:val="000000"/>
        </w:rPr>
        <w:t>;</w:t>
      </w:r>
      <w:r w:rsidRPr="00AC4FBA">
        <w:rPr>
          <w:rFonts w:cs="Arial"/>
          <w:color w:val="000000"/>
        </w:rPr>
        <w:t xml:space="preserve"> </w:t>
      </w:r>
      <w:r w:rsidRPr="005A3F2A">
        <w:rPr>
          <w:rFonts w:cs="Arial"/>
          <w:color w:val="000000"/>
        </w:rPr>
        <w:t>Asian</w:t>
      </w:r>
      <w:r>
        <w:rPr>
          <w:rFonts w:cs="Arial"/>
          <w:color w:val="000000"/>
        </w:rPr>
        <w:t xml:space="preserve"> people;</w:t>
      </w:r>
      <w:r w:rsidRPr="005A3F2A">
        <w:rPr>
          <w:rFonts w:cs="Arial"/>
          <w:color w:val="000000"/>
        </w:rPr>
        <w:t xml:space="preserve"> Middle Eastern</w:t>
      </w:r>
      <w:r>
        <w:rPr>
          <w:rFonts w:cs="Arial"/>
          <w:color w:val="000000"/>
        </w:rPr>
        <w:t>,</w:t>
      </w:r>
      <w:r w:rsidRPr="005A3F2A">
        <w:rPr>
          <w:rFonts w:cs="Arial"/>
          <w:color w:val="000000"/>
        </w:rPr>
        <w:t xml:space="preserve"> Latin American and African</w:t>
      </w:r>
      <w:r>
        <w:rPr>
          <w:rFonts w:cs="Arial"/>
          <w:color w:val="000000"/>
        </w:rPr>
        <w:t xml:space="preserve"> people;</w:t>
      </w:r>
      <w:r w:rsidRPr="00AC4FBA">
        <w:rPr>
          <w:rFonts w:cs="Arial"/>
          <w:color w:val="000000"/>
        </w:rPr>
        <w:t xml:space="preserve"> Europeans</w:t>
      </w:r>
      <w:r>
        <w:rPr>
          <w:rFonts w:cs="Arial"/>
          <w:color w:val="000000"/>
        </w:rPr>
        <w:t>;</w:t>
      </w:r>
      <w:r w:rsidRPr="00AC4FBA">
        <w:rPr>
          <w:rFonts w:cs="Arial"/>
          <w:color w:val="000000"/>
        </w:rPr>
        <w:t xml:space="preserve"> migrants, former refugees/asylum seekers</w:t>
      </w:r>
      <w:r>
        <w:rPr>
          <w:rFonts w:cs="Arial"/>
          <w:color w:val="000000"/>
        </w:rPr>
        <w:t>; older people</w:t>
      </w:r>
      <w:r w:rsidRPr="00AC4FBA">
        <w:rPr>
          <w:rFonts w:cs="Arial"/>
          <w:color w:val="000000"/>
        </w:rPr>
        <w:t xml:space="preserve"> and people affected by disability. </w:t>
      </w:r>
      <w:r>
        <w:rPr>
          <w:rFonts w:cs="Arial"/>
          <w:color w:val="000000"/>
        </w:rPr>
        <w:t xml:space="preserve">One submitter suggested that the Framework could explore the way </w:t>
      </w:r>
      <w:r w:rsidRPr="008565C1">
        <w:rPr>
          <w:rFonts w:cs="Arial"/>
          <w:color w:val="000000"/>
        </w:rPr>
        <w:t xml:space="preserve">ethics interacts with differing age </w:t>
      </w:r>
      <w:r>
        <w:rPr>
          <w:rFonts w:cs="Arial"/>
          <w:color w:val="000000"/>
        </w:rPr>
        <w:t>profiles</w:t>
      </w:r>
      <w:r w:rsidRPr="008565C1">
        <w:rPr>
          <w:rFonts w:cs="Arial"/>
          <w:color w:val="000000"/>
        </w:rPr>
        <w:t xml:space="preserve"> between ethnic groups, and the impact this has on prioritisation.</w:t>
      </w:r>
    </w:p>
    <w:p w14:paraId="25403A38" w14:textId="77777777" w:rsidR="00966826" w:rsidRDefault="00966826" w:rsidP="00966826">
      <w:pPr>
        <w:autoSpaceDE w:val="0"/>
        <w:autoSpaceDN w:val="0"/>
        <w:adjustRightInd w:val="0"/>
        <w:rPr>
          <w:rFonts w:cs="Arial"/>
          <w:color w:val="000000"/>
        </w:rPr>
      </w:pPr>
    </w:p>
    <w:p w14:paraId="2C062C38" w14:textId="77777777" w:rsidR="00966826" w:rsidRDefault="00966826" w:rsidP="00966826">
      <w:pPr>
        <w:autoSpaceDE w:val="0"/>
        <w:autoSpaceDN w:val="0"/>
        <w:adjustRightInd w:val="0"/>
        <w:rPr>
          <w:rFonts w:cs="Arial"/>
          <w:color w:val="000000"/>
        </w:rPr>
      </w:pPr>
      <w:r>
        <w:rPr>
          <w:rFonts w:cs="Arial"/>
          <w:color w:val="000000"/>
        </w:rPr>
        <w:t>Submitters</w:t>
      </w:r>
      <w:r w:rsidRPr="00C023A3">
        <w:rPr>
          <w:rFonts w:cs="Arial"/>
          <w:color w:val="000000"/>
        </w:rPr>
        <w:t xml:space="preserve"> </w:t>
      </w:r>
      <w:r>
        <w:rPr>
          <w:rFonts w:cs="Arial"/>
          <w:color w:val="000000"/>
        </w:rPr>
        <w:t xml:space="preserve">noted the importance of building a theme of non-discrimination into the Framework, and suggested that, </w:t>
      </w:r>
      <w:r w:rsidRPr="00C023A3">
        <w:rPr>
          <w:rFonts w:cs="Arial"/>
          <w:color w:val="000000"/>
        </w:rPr>
        <w:t xml:space="preserve">alongside the </w:t>
      </w:r>
      <w:r>
        <w:rPr>
          <w:rFonts w:cs="Arial"/>
          <w:color w:val="000000"/>
        </w:rPr>
        <w:t>F</w:t>
      </w:r>
      <w:r w:rsidRPr="00C023A3">
        <w:rPr>
          <w:rFonts w:cs="Arial"/>
          <w:color w:val="000000"/>
        </w:rPr>
        <w:t xml:space="preserve">ramework, triage protocols should be developed and followed to ensure </w:t>
      </w:r>
      <w:r>
        <w:rPr>
          <w:rFonts w:cs="Arial"/>
          <w:color w:val="000000"/>
        </w:rPr>
        <w:t xml:space="preserve">that </w:t>
      </w:r>
      <w:r w:rsidRPr="00C023A3">
        <w:rPr>
          <w:rFonts w:cs="Arial"/>
          <w:color w:val="000000"/>
        </w:rPr>
        <w:t xml:space="preserve">decisions are made on the basis of medical needs </w:t>
      </w:r>
      <w:r>
        <w:rPr>
          <w:rFonts w:cs="Arial"/>
          <w:color w:val="000000"/>
        </w:rPr>
        <w:t xml:space="preserve">and </w:t>
      </w:r>
      <w:r w:rsidRPr="00C023A3">
        <w:rPr>
          <w:rFonts w:cs="Arial"/>
          <w:color w:val="000000"/>
        </w:rPr>
        <w:t>the best scientific evidence available</w:t>
      </w:r>
      <w:r>
        <w:rPr>
          <w:rFonts w:cs="Arial"/>
          <w:color w:val="000000"/>
        </w:rPr>
        <w:t>,</w:t>
      </w:r>
      <w:r w:rsidRPr="00C023A3">
        <w:rPr>
          <w:rFonts w:cs="Arial"/>
          <w:color w:val="000000"/>
        </w:rPr>
        <w:t xml:space="preserve"> and not on non-medical criteria such as age or disability</w:t>
      </w:r>
      <w:r>
        <w:rPr>
          <w:rFonts w:cs="Arial"/>
          <w:color w:val="000000"/>
        </w:rPr>
        <w:t>.</w:t>
      </w:r>
    </w:p>
    <w:p w14:paraId="03DB2AD4" w14:textId="77777777" w:rsidR="00966826" w:rsidRDefault="00966826" w:rsidP="00966826">
      <w:pPr>
        <w:autoSpaceDE w:val="0"/>
        <w:autoSpaceDN w:val="0"/>
        <w:adjustRightInd w:val="0"/>
        <w:rPr>
          <w:rFonts w:cs="Arial"/>
          <w:color w:val="000000"/>
        </w:rPr>
      </w:pPr>
    </w:p>
    <w:p w14:paraId="658D5490" w14:textId="3D3371C0" w:rsidR="001C7F1A" w:rsidRPr="001C7F1A" w:rsidRDefault="00966826" w:rsidP="00966826">
      <w:pPr>
        <w:spacing w:after="240"/>
        <w:rPr>
          <w:rFonts w:eastAsia="Calibri" w:cs="Arial"/>
        </w:rPr>
      </w:pPr>
      <w:r>
        <w:rPr>
          <w:rFonts w:eastAsia="Calibri" w:cs="Arial"/>
        </w:rPr>
        <w:t xml:space="preserve">NEAC heard through a number of submissions that more work should be done to ensure that decisions </w:t>
      </w:r>
      <w:r w:rsidRPr="008565C1">
        <w:rPr>
          <w:rFonts w:eastAsia="Calibri" w:cs="Arial"/>
        </w:rPr>
        <w:t>that stress disability, or alternative descriptions such as frailty, or reliance on support, must not be used as a proxy determinant of clinical prognosis that affects allocation decisions.</w:t>
      </w:r>
      <w:bookmarkStart w:id="30" w:name="_GoBack"/>
      <w:bookmarkEnd w:id="30"/>
    </w:p>
    <w:p w14:paraId="3C982331" w14:textId="77777777" w:rsidR="00966826" w:rsidRDefault="00966826" w:rsidP="00966826">
      <w:pPr>
        <w:pStyle w:val="Heading2"/>
        <w:rPr>
          <w:rFonts w:eastAsiaTheme="minorEastAsia" w:cstheme="minorHAnsi"/>
          <w:color w:val="000000" w:themeColor="text1"/>
        </w:rPr>
      </w:pPr>
      <w:bookmarkStart w:id="31" w:name="_Toc50025111"/>
      <w:bookmarkStart w:id="32" w:name="_Toc50491734"/>
      <w:r>
        <w:t>Human rights</w:t>
      </w:r>
      <w:bookmarkEnd w:id="31"/>
      <w:bookmarkEnd w:id="32"/>
    </w:p>
    <w:p w14:paraId="338ADCF4" w14:textId="79B5199C" w:rsidR="00966826" w:rsidRDefault="00966826" w:rsidP="00966826">
      <w:pPr>
        <w:rPr>
          <w:rFonts w:eastAsiaTheme="minorEastAsia"/>
        </w:rPr>
      </w:pPr>
      <w:r>
        <w:rPr>
          <w:rFonts w:eastAsiaTheme="minorEastAsia"/>
        </w:rPr>
        <w:t>O</w:t>
      </w:r>
      <w:r w:rsidRPr="00377975">
        <w:rPr>
          <w:rFonts w:eastAsiaTheme="minorEastAsia"/>
        </w:rPr>
        <w:t xml:space="preserve">ne submitter </w:t>
      </w:r>
      <w:r>
        <w:rPr>
          <w:rFonts w:eastAsiaTheme="minorEastAsia"/>
        </w:rPr>
        <w:t xml:space="preserve">suggested </w:t>
      </w:r>
      <w:r w:rsidRPr="00377975">
        <w:rPr>
          <w:rFonts w:eastAsiaTheme="minorEastAsia"/>
        </w:rPr>
        <w:t xml:space="preserve">that </w:t>
      </w:r>
      <w:r>
        <w:rPr>
          <w:rFonts w:eastAsiaTheme="minorEastAsia"/>
        </w:rPr>
        <w:t xml:space="preserve">a </w:t>
      </w:r>
      <w:r w:rsidRPr="00377975">
        <w:rPr>
          <w:rFonts w:eastAsiaTheme="minorEastAsia"/>
        </w:rPr>
        <w:t>human rights</w:t>
      </w:r>
      <w:r>
        <w:rPr>
          <w:rFonts w:eastAsiaTheme="minorEastAsia"/>
        </w:rPr>
        <w:t>-based approach concerned with process as well as outcome</w:t>
      </w:r>
      <w:r w:rsidRPr="00377975">
        <w:rPr>
          <w:rFonts w:eastAsiaTheme="minorEastAsia"/>
        </w:rPr>
        <w:t xml:space="preserve"> </w:t>
      </w:r>
      <w:r>
        <w:rPr>
          <w:rFonts w:eastAsiaTheme="minorEastAsia"/>
        </w:rPr>
        <w:t>c</w:t>
      </w:r>
      <w:r w:rsidRPr="00377975">
        <w:rPr>
          <w:rFonts w:eastAsiaTheme="minorEastAsia"/>
        </w:rPr>
        <w:t xml:space="preserve">ould </w:t>
      </w:r>
      <w:r>
        <w:rPr>
          <w:rFonts w:eastAsiaTheme="minorEastAsia"/>
        </w:rPr>
        <w:t xml:space="preserve">work better </w:t>
      </w:r>
      <w:r w:rsidRPr="00377975">
        <w:rPr>
          <w:rFonts w:eastAsiaTheme="minorEastAsia"/>
        </w:rPr>
        <w:t>as the foundation for the Framework, rather than a</w:t>
      </w:r>
      <w:r>
        <w:rPr>
          <w:rFonts w:eastAsiaTheme="minorEastAsia"/>
        </w:rPr>
        <w:t xml:space="preserve"> human-rights as a</w:t>
      </w:r>
      <w:r w:rsidRPr="00377975">
        <w:rPr>
          <w:rFonts w:eastAsiaTheme="minorEastAsia"/>
        </w:rPr>
        <w:t xml:space="preserve"> subset of equity</w:t>
      </w:r>
      <w:r>
        <w:rPr>
          <w:rFonts w:eastAsiaTheme="minorEastAsia"/>
        </w:rPr>
        <w:t>,</w:t>
      </w:r>
      <w:r w:rsidRPr="00377975">
        <w:rPr>
          <w:rFonts w:eastAsiaTheme="minorEastAsia"/>
        </w:rPr>
        <w:t xml:space="preserve"> as </w:t>
      </w:r>
      <w:r w:rsidRPr="0021563B">
        <w:rPr>
          <w:rFonts w:eastAsiaTheme="minorEastAsia"/>
        </w:rPr>
        <w:t xml:space="preserve">currently </w:t>
      </w:r>
      <w:r>
        <w:rPr>
          <w:rFonts w:eastAsiaTheme="minorEastAsia"/>
        </w:rPr>
        <w:t>proposed</w:t>
      </w:r>
      <w:r w:rsidRPr="0021563B">
        <w:rPr>
          <w:rFonts w:eastAsiaTheme="minorEastAsia"/>
        </w:rPr>
        <w:t xml:space="preserve">. </w:t>
      </w:r>
      <w:r>
        <w:rPr>
          <w:rFonts w:eastAsiaTheme="minorEastAsia"/>
        </w:rPr>
        <w:t xml:space="preserve">This submitter said </w:t>
      </w:r>
      <w:r w:rsidRPr="0021563B">
        <w:rPr>
          <w:rFonts w:eastAsiaTheme="minorEastAsia"/>
        </w:rPr>
        <w:t>that</w:t>
      </w:r>
      <w:r>
        <w:rPr>
          <w:rFonts w:eastAsiaTheme="minorEastAsia"/>
        </w:rPr>
        <w:t>,</w:t>
      </w:r>
      <w:r w:rsidRPr="0021563B">
        <w:rPr>
          <w:rFonts w:eastAsiaTheme="minorEastAsia"/>
        </w:rPr>
        <w:t xml:space="preserve"> to fulfil such an approach, the Framework could set out </w:t>
      </w:r>
      <w:r>
        <w:rPr>
          <w:rFonts w:eastAsiaTheme="minorEastAsia"/>
        </w:rPr>
        <w:t xml:space="preserve">more detail on </w:t>
      </w:r>
      <w:r w:rsidRPr="0021563B">
        <w:rPr>
          <w:rFonts w:eastAsiaTheme="minorEastAsia"/>
        </w:rPr>
        <w:t>obligations and rights.</w:t>
      </w:r>
    </w:p>
    <w:p w14:paraId="33A46A30" w14:textId="77777777" w:rsidR="00966826" w:rsidRPr="0021563B" w:rsidRDefault="00966826" w:rsidP="00966826">
      <w:pPr>
        <w:rPr>
          <w:rFonts w:eastAsiaTheme="minorEastAsia"/>
        </w:rPr>
      </w:pPr>
    </w:p>
    <w:p w14:paraId="714B416C" w14:textId="458A784C" w:rsidR="00966826" w:rsidRDefault="00966826" w:rsidP="00966826">
      <w:pPr>
        <w:rPr>
          <w:rFonts w:eastAsiaTheme="minorEastAsia"/>
        </w:rPr>
      </w:pPr>
      <w:r w:rsidRPr="0021563B">
        <w:rPr>
          <w:rFonts w:eastAsiaTheme="minorEastAsia"/>
        </w:rPr>
        <w:t xml:space="preserve">It was also suggested that </w:t>
      </w:r>
      <w:r>
        <w:rPr>
          <w:rFonts w:eastAsiaTheme="minorEastAsia"/>
        </w:rPr>
        <w:t xml:space="preserve">the Framework should acknowledge mention </w:t>
      </w:r>
      <w:r w:rsidRPr="0021563B">
        <w:rPr>
          <w:rFonts w:eastAsiaTheme="minorEastAsia"/>
        </w:rPr>
        <w:t>human rights treaties such as the</w:t>
      </w:r>
      <w:r w:rsidRPr="0021563B">
        <w:t xml:space="preserve"> </w:t>
      </w:r>
      <w:r w:rsidRPr="0021563B">
        <w:rPr>
          <w:rFonts w:eastAsiaTheme="minorEastAsia"/>
        </w:rPr>
        <w:t xml:space="preserve">Convention on the Rights of Persons with Disabilities and the recently released </w:t>
      </w:r>
      <w:proofErr w:type="spellStart"/>
      <w:r w:rsidRPr="0021563B">
        <w:rPr>
          <w:rFonts w:eastAsiaTheme="minorEastAsia"/>
        </w:rPr>
        <w:t>Whakamaua</w:t>
      </w:r>
      <w:proofErr w:type="spellEnd"/>
      <w:r w:rsidRPr="0021563B">
        <w:rPr>
          <w:rFonts w:eastAsiaTheme="minorEastAsia"/>
        </w:rPr>
        <w:t xml:space="preserve">: Māori Health Action Plan alongside </w:t>
      </w:r>
      <w:proofErr w:type="spellStart"/>
      <w:r w:rsidRPr="0021563B">
        <w:rPr>
          <w:rFonts w:eastAsiaTheme="minorEastAsia"/>
        </w:rPr>
        <w:t>T</w:t>
      </w:r>
      <w:r>
        <w:rPr>
          <w:rFonts w:eastAsiaTheme="minorEastAsia"/>
        </w:rPr>
        <w:t>e</w:t>
      </w:r>
      <w:proofErr w:type="spellEnd"/>
      <w:r w:rsidRPr="0021563B">
        <w:rPr>
          <w:rFonts w:eastAsiaTheme="minorEastAsia"/>
        </w:rPr>
        <w:t xml:space="preserve"> </w:t>
      </w:r>
      <w:proofErr w:type="spellStart"/>
      <w:r w:rsidRPr="0021563B">
        <w:rPr>
          <w:rFonts w:eastAsiaTheme="minorEastAsia"/>
        </w:rPr>
        <w:t>Tiriti</w:t>
      </w:r>
      <w:proofErr w:type="spellEnd"/>
      <w:r w:rsidRPr="0021563B">
        <w:rPr>
          <w:rFonts w:eastAsiaTheme="minorEastAsia"/>
        </w:rPr>
        <w:t xml:space="preserve"> and other recognised allocation frameworks.  </w:t>
      </w:r>
    </w:p>
    <w:p w14:paraId="6C35D2AC" w14:textId="77777777" w:rsidR="00966826" w:rsidRPr="0021563B" w:rsidRDefault="00966826" w:rsidP="00966826">
      <w:pPr>
        <w:rPr>
          <w:rFonts w:eastAsiaTheme="minorEastAsia"/>
          <w:b/>
        </w:rPr>
      </w:pPr>
    </w:p>
    <w:p w14:paraId="6F19C2B2" w14:textId="77777777" w:rsidR="00966826" w:rsidRDefault="00966826" w:rsidP="00966826">
      <w:pPr>
        <w:pStyle w:val="Heading2"/>
      </w:pPr>
      <w:bookmarkStart w:id="33" w:name="_Toc50025112"/>
      <w:bookmarkStart w:id="34" w:name="_Toc50491735"/>
      <w:r w:rsidRPr="008331F1">
        <w:lastRenderedPageBreak/>
        <w:t>Scope, structure and purpose</w:t>
      </w:r>
      <w:bookmarkEnd w:id="33"/>
      <w:bookmarkEnd w:id="34"/>
      <w:r w:rsidRPr="008331F1">
        <w:t xml:space="preserve"> </w:t>
      </w:r>
    </w:p>
    <w:p w14:paraId="54D5DAF8" w14:textId="77777777" w:rsidR="00966826" w:rsidRPr="00377975" w:rsidRDefault="00966826" w:rsidP="00966826">
      <w:pPr>
        <w:autoSpaceDE w:val="0"/>
        <w:autoSpaceDN w:val="0"/>
        <w:adjustRightInd w:val="0"/>
        <w:rPr>
          <w:rFonts w:cs="Arial"/>
        </w:rPr>
      </w:pPr>
      <w:r w:rsidRPr="00377975">
        <w:rPr>
          <w:rFonts w:cs="Arial"/>
        </w:rPr>
        <w:t xml:space="preserve">Several submitters noted that the Framework </w:t>
      </w:r>
      <w:r>
        <w:rPr>
          <w:rFonts w:cs="Arial"/>
        </w:rPr>
        <w:t xml:space="preserve">is </w:t>
      </w:r>
      <w:r w:rsidRPr="00377975">
        <w:rPr>
          <w:rFonts w:cs="Arial"/>
        </w:rPr>
        <w:t>relevan</w:t>
      </w:r>
      <w:r>
        <w:rPr>
          <w:rFonts w:cs="Arial"/>
        </w:rPr>
        <w:t>t</w:t>
      </w:r>
      <w:r w:rsidRPr="00377975">
        <w:rPr>
          <w:rFonts w:cs="Arial"/>
        </w:rPr>
        <w:t xml:space="preserve"> for pandemics other than COVID</w:t>
      </w:r>
      <w:r>
        <w:rPr>
          <w:rFonts w:cs="Arial"/>
        </w:rPr>
        <w:t>-19</w:t>
      </w:r>
      <w:r w:rsidRPr="00377975">
        <w:rPr>
          <w:rFonts w:cs="Arial"/>
        </w:rPr>
        <w:t xml:space="preserve"> and</w:t>
      </w:r>
      <w:r>
        <w:rPr>
          <w:rFonts w:cs="Arial"/>
        </w:rPr>
        <w:t>,</w:t>
      </w:r>
      <w:r w:rsidRPr="00377975">
        <w:rPr>
          <w:rFonts w:cs="Arial"/>
        </w:rPr>
        <w:t xml:space="preserve"> further</w:t>
      </w:r>
      <w:r>
        <w:rPr>
          <w:rFonts w:cs="Arial"/>
        </w:rPr>
        <w:t>,</w:t>
      </w:r>
      <w:r w:rsidRPr="00377975">
        <w:rPr>
          <w:rFonts w:cs="Arial"/>
        </w:rPr>
        <w:t xml:space="preserve"> could be relevant for resource allocation outside of the context of pandemics. </w:t>
      </w:r>
    </w:p>
    <w:p w14:paraId="2B3E4931" w14:textId="77777777" w:rsidR="00966826" w:rsidRPr="00377975" w:rsidRDefault="00966826" w:rsidP="00966826">
      <w:pPr>
        <w:autoSpaceDE w:val="0"/>
        <w:autoSpaceDN w:val="0"/>
        <w:adjustRightInd w:val="0"/>
        <w:rPr>
          <w:rFonts w:cs="Arial"/>
        </w:rPr>
      </w:pPr>
    </w:p>
    <w:p w14:paraId="0F8AA243" w14:textId="77777777" w:rsidR="00966826" w:rsidRDefault="00966826" w:rsidP="00966826">
      <w:pPr>
        <w:autoSpaceDE w:val="0"/>
        <w:autoSpaceDN w:val="0"/>
        <w:adjustRightInd w:val="0"/>
        <w:rPr>
          <w:rFonts w:cs="Arial"/>
        </w:rPr>
      </w:pPr>
      <w:r w:rsidRPr="00377975">
        <w:rPr>
          <w:rFonts w:cs="Arial"/>
        </w:rPr>
        <w:t xml:space="preserve">Other submitters requested that </w:t>
      </w:r>
      <w:r>
        <w:rPr>
          <w:rFonts w:cs="Arial"/>
        </w:rPr>
        <w:t xml:space="preserve">NEAC should clarify </w:t>
      </w:r>
      <w:r w:rsidRPr="00377975">
        <w:rPr>
          <w:rFonts w:cs="Arial"/>
        </w:rPr>
        <w:t>the scope of the document</w:t>
      </w:r>
      <w:r>
        <w:rPr>
          <w:rFonts w:cs="Arial"/>
        </w:rPr>
        <w:t xml:space="preserve">, as a resource </w:t>
      </w:r>
      <w:r w:rsidRPr="00377975">
        <w:rPr>
          <w:rFonts w:cs="Arial"/>
        </w:rPr>
        <w:t xml:space="preserve">specifically </w:t>
      </w:r>
      <w:r>
        <w:rPr>
          <w:rFonts w:cs="Arial"/>
        </w:rPr>
        <w:t xml:space="preserve">for </w:t>
      </w:r>
      <w:r w:rsidRPr="00377975">
        <w:rPr>
          <w:rFonts w:cs="Arial"/>
        </w:rPr>
        <w:t>the COVID-19 pandemic, pandemics in general</w:t>
      </w:r>
      <w:r>
        <w:rPr>
          <w:rFonts w:cs="Arial"/>
        </w:rPr>
        <w:t xml:space="preserve"> or </w:t>
      </w:r>
      <w:r w:rsidRPr="00377975">
        <w:rPr>
          <w:rFonts w:cs="Arial"/>
        </w:rPr>
        <w:t>emergency situations in general, or as a general allocation framework</w:t>
      </w:r>
      <w:r>
        <w:rPr>
          <w:rFonts w:cs="Arial"/>
        </w:rPr>
        <w:t xml:space="preserve"> for everyday</w:t>
      </w:r>
      <w:r w:rsidRPr="00377975">
        <w:rPr>
          <w:rFonts w:cs="Arial"/>
        </w:rPr>
        <w:t xml:space="preserve"> scarce resources. </w:t>
      </w:r>
    </w:p>
    <w:p w14:paraId="547FA66D" w14:textId="77777777" w:rsidR="00966826" w:rsidRDefault="00966826" w:rsidP="00966826">
      <w:pPr>
        <w:autoSpaceDE w:val="0"/>
        <w:autoSpaceDN w:val="0"/>
        <w:adjustRightInd w:val="0"/>
        <w:rPr>
          <w:rFonts w:cs="Arial"/>
        </w:rPr>
      </w:pPr>
    </w:p>
    <w:p w14:paraId="40208561" w14:textId="77777777" w:rsidR="00966826" w:rsidRDefault="00966826" w:rsidP="00966826">
      <w:pPr>
        <w:autoSpaceDE w:val="0"/>
        <w:autoSpaceDN w:val="0"/>
        <w:adjustRightInd w:val="0"/>
        <w:rPr>
          <w:rFonts w:cs="Arial"/>
        </w:rPr>
      </w:pPr>
      <w:r w:rsidRPr="00377975">
        <w:rPr>
          <w:rFonts w:cs="Arial"/>
        </w:rPr>
        <w:t xml:space="preserve">It was suggested that the term </w:t>
      </w:r>
      <w:r>
        <w:rPr>
          <w:rFonts w:cs="Arial"/>
        </w:rPr>
        <w:t>‘</w:t>
      </w:r>
      <w:r w:rsidRPr="00377975">
        <w:rPr>
          <w:rFonts w:cs="Arial"/>
        </w:rPr>
        <w:t>times of scarcity</w:t>
      </w:r>
      <w:r>
        <w:rPr>
          <w:rFonts w:cs="Arial"/>
        </w:rPr>
        <w:t>’</w:t>
      </w:r>
      <w:r w:rsidRPr="00377975">
        <w:rPr>
          <w:rFonts w:cs="Arial"/>
        </w:rPr>
        <w:t xml:space="preserve"> was too </w:t>
      </w:r>
      <w:proofErr w:type="gramStart"/>
      <w:r w:rsidRPr="00377975">
        <w:rPr>
          <w:rFonts w:cs="Arial"/>
        </w:rPr>
        <w:t>broad</w:t>
      </w:r>
      <w:r>
        <w:rPr>
          <w:rFonts w:cs="Arial"/>
        </w:rPr>
        <w:t>,</w:t>
      </w:r>
      <w:r w:rsidRPr="00377975">
        <w:rPr>
          <w:rFonts w:cs="Arial"/>
        </w:rPr>
        <w:t xml:space="preserve"> and</w:t>
      </w:r>
      <w:proofErr w:type="gramEnd"/>
      <w:r w:rsidRPr="00377975">
        <w:rPr>
          <w:rFonts w:cs="Arial"/>
        </w:rPr>
        <w:t xml:space="preserve"> could be interpreted as applying in times of business as usual in situations </w:t>
      </w:r>
      <w:r>
        <w:rPr>
          <w:rFonts w:cs="Arial"/>
        </w:rPr>
        <w:t>in which</w:t>
      </w:r>
      <w:r w:rsidRPr="00377975">
        <w:rPr>
          <w:rFonts w:cs="Arial"/>
        </w:rPr>
        <w:t xml:space="preserve"> resource requirements exceed capacity. A few submitters </w:t>
      </w:r>
      <w:r>
        <w:rPr>
          <w:rFonts w:cs="Arial"/>
        </w:rPr>
        <w:t xml:space="preserve">suggested </w:t>
      </w:r>
      <w:r w:rsidRPr="00377975">
        <w:rPr>
          <w:rFonts w:cs="Arial"/>
        </w:rPr>
        <w:t>that the title should reflect that the Framework relates to an immediate crisis or emergency situation.</w:t>
      </w:r>
    </w:p>
    <w:p w14:paraId="3AA9B5A7" w14:textId="77777777" w:rsidR="00966826" w:rsidRPr="00377975" w:rsidRDefault="00966826" w:rsidP="00966826">
      <w:pPr>
        <w:autoSpaceDE w:val="0"/>
        <w:autoSpaceDN w:val="0"/>
        <w:adjustRightInd w:val="0"/>
        <w:rPr>
          <w:rFonts w:cs="Arial"/>
        </w:rPr>
      </w:pPr>
    </w:p>
    <w:p w14:paraId="1BAA9239" w14:textId="77777777" w:rsidR="00966826" w:rsidRDefault="00966826" w:rsidP="00966826">
      <w:pPr>
        <w:autoSpaceDE w:val="0"/>
        <w:autoSpaceDN w:val="0"/>
        <w:adjustRightInd w:val="0"/>
      </w:pPr>
      <w:r>
        <w:t xml:space="preserve">One strong theme was that the Framework should acknowledge the frameworks and structures currently used and prioritised by the health sector; one submitter noted that these should be assessed to justify why they are not sufficient for managing a major surge in COVID-19 disease burden specifically. </w:t>
      </w:r>
    </w:p>
    <w:p w14:paraId="79B86447" w14:textId="77777777" w:rsidR="00966826" w:rsidRDefault="00966826" w:rsidP="00966826">
      <w:pPr>
        <w:autoSpaceDE w:val="0"/>
        <w:autoSpaceDN w:val="0"/>
        <w:adjustRightInd w:val="0"/>
      </w:pPr>
    </w:p>
    <w:p w14:paraId="31EBF440" w14:textId="77777777" w:rsidR="00966826" w:rsidRDefault="00966826" w:rsidP="00966826">
      <w:pPr>
        <w:autoSpaceDE w:val="0"/>
        <w:autoSpaceDN w:val="0"/>
        <w:adjustRightInd w:val="0"/>
      </w:pPr>
      <w:r>
        <w:rPr>
          <w:rFonts w:cs="Arial"/>
        </w:rPr>
        <w:t xml:space="preserve">A </w:t>
      </w:r>
      <w:r w:rsidRPr="00377975">
        <w:rPr>
          <w:rFonts w:cs="Arial"/>
        </w:rPr>
        <w:t xml:space="preserve">common theme </w:t>
      </w:r>
      <w:r>
        <w:rPr>
          <w:rFonts w:cs="Arial"/>
        </w:rPr>
        <w:t xml:space="preserve">was </w:t>
      </w:r>
      <w:r w:rsidRPr="00377975">
        <w:rPr>
          <w:rFonts w:cs="Arial"/>
        </w:rPr>
        <w:t xml:space="preserve">the need for the </w:t>
      </w:r>
      <w:r>
        <w:rPr>
          <w:rFonts w:cs="Arial"/>
        </w:rPr>
        <w:t xml:space="preserve">Framework’s </w:t>
      </w:r>
      <w:r w:rsidRPr="00377975">
        <w:rPr>
          <w:rFonts w:cs="Arial"/>
        </w:rPr>
        <w:t>scope to be clarified</w:t>
      </w:r>
      <w:r>
        <w:rPr>
          <w:rFonts w:cs="Arial"/>
        </w:rPr>
        <w:t>, including in terms of explaining</w:t>
      </w:r>
      <w:r w:rsidRPr="00377975">
        <w:rPr>
          <w:rFonts w:cs="Arial"/>
        </w:rPr>
        <w:t xml:space="preserve"> why a pandemic generates the need for rationing principles </w:t>
      </w:r>
      <w:r>
        <w:rPr>
          <w:rFonts w:cs="Arial"/>
        </w:rPr>
        <w:t xml:space="preserve">that apply </w:t>
      </w:r>
      <w:r w:rsidRPr="00377975">
        <w:rPr>
          <w:rFonts w:cs="Arial"/>
        </w:rPr>
        <w:t>beyond the day-to-day rationing that health services</w:t>
      </w:r>
      <w:r>
        <w:rPr>
          <w:rFonts w:cs="Arial"/>
        </w:rPr>
        <w:t xml:space="preserve"> already undertake</w:t>
      </w:r>
      <w:r w:rsidRPr="00377975">
        <w:rPr>
          <w:rFonts w:cs="Arial"/>
        </w:rPr>
        <w:t xml:space="preserve">. Some submitters requested extending the </w:t>
      </w:r>
      <w:r>
        <w:rPr>
          <w:rFonts w:cs="Arial"/>
        </w:rPr>
        <w:t xml:space="preserve">approach for addressing </w:t>
      </w:r>
      <w:r w:rsidRPr="00377975">
        <w:rPr>
          <w:rFonts w:cs="Arial"/>
        </w:rPr>
        <w:t xml:space="preserve">resource scarcity to </w:t>
      </w:r>
      <w:r>
        <w:rPr>
          <w:rFonts w:cs="Arial"/>
        </w:rPr>
        <w:t xml:space="preserve">accommodate </w:t>
      </w:r>
      <w:r w:rsidRPr="00377975">
        <w:rPr>
          <w:rFonts w:cs="Arial"/>
        </w:rPr>
        <w:t>more ‘everyday’ challenges</w:t>
      </w:r>
      <w:r>
        <w:rPr>
          <w:rFonts w:cs="Arial"/>
        </w:rPr>
        <w:t xml:space="preserve">. In </w:t>
      </w:r>
      <w:r>
        <w:t xml:space="preserve">this context, they wondered why the Framework does not identify how the potential speed and intensity of a rationing crisis related to COVID-19 differs to such a crisis related to other events, such as a natural disaster. </w:t>
      </w:r>
    </w:p>
    <w:p w14:paraId="440609DA" w14:textId="77777777" w:rsidR="00966826" w:rsidRDefault="00966826" w:rsidP="00966826">
      <w:pPr>
        <w:autoSpaceDE w:val="0"/>
        <w:autoSpaceDN w:val="0"/>
        <w:adjustRightInd w:val="0"/>
      </w:pPr>
    </w:p>
    <w:p w14:paraId="36B4B86D" w14:textId="77777777" w:rsidR="00966826" w:rsidRPr="00377975" w:rsidRDefault="00966826" w:rsidP="00966826">
      <w:pPr>
        <w:autoSpaceDE w:val="0"/>
        <w:autoSpaceDN w:val="0"/>
        <w:adjustRightInd w:val="0"/>
        <w:rPr>
          <w:rFonts w:cs="Arial"/>
        </w:rPr>
      </w:pPr>
      <w:r>
        <w:t xml:space="preserve">In this regard, submitters recommended that the Framework should note the wider context of the health system, including existing allocation structures. One submitter identified that possible pandemic-specific factors might include intensified time pressure, limitations to wide consultation and, conversely, the need to obtain widespread public agreement with the measures to be taken. </w:t>
      </w:r>
    </w:p>
    <w:p w14:paraId="4E140B55" w14:textId="77777777" w:rsidR="00966826" w:rsidRPr="00377975" w:rsidRDefault="00966826" w:rsidP="00966826">
      <w:pPr>
        <w:autoSpaceDE w:val="0"/>
        <w:autoSpaceDN w:val="0"/>
        <w:adjustRightInd w:val="0"/>
        <w:rPr>
          <w:rFonts w:cs="Arial"/>
        </w:rPr>
      </w:pPr>
    </w:p>
    <w:p w14:paraId="72039EA2" w14:textId="77777777" w:rsidR="00966826" w:rsidRPr="00377975" w:rsidRDefault="00966826" w:rsidP="00966826">
      <w:pPr>
        <w:autoSpaceDE w:val="0"/>
        <w:autoSpaceDN w:val="0"/>
        <w:adjustRightInd w:val="0"/>
        <w:rPr>
          <w:rFonts w:cs="Arial"/>
        </w:rPr>
      </w:pPr>
      <w:r w:rsidRPr="00377975">
        <w:rPr>
          <w:rFonts w:cs="Arial"/>
        </w:rPr>
        <w:t xml:space="preserve">A number of submitters noted that the Framework </w:t>
      </w:r>
      <w:r>
        <w:rPr>
          <w:rFonts w:cs="Arial"/>
        </w:rPr>
        <w:t xml:space="preserve">is both </w:t>
      </w:r>
      <w:r w:rsidRPr="00377975">
        <w:rPr>
          <w:rFonts w:cs="Arial"/>
        </w:rPr>
        <w:t xml:space="preserve">theoretical, providing guiding principles, </w:t>
      </w:r>
      <w:r>
        <w:rPr>
          <w:rFonts w:cs="Arial"/>
        </w:rPr>
        <w:t xml:space="preserve">and </w:t>
      </w:r>
      <w:r w:rsidRPr="00377975">
        <w:rPr>
          <w:rFonts w:cs="Arial"/>
        </w:rPr>
        <w:t>detailed</w:t>
      </w:r>
      <w:r>
        <w:rPr>
          <w:rFonts w:cs="Arial"/>
        </w:rPr>
        <w:t>, using specific</w:t>
      </w:r>
      <w:r w:rsidRPr="00377975">
        <w:rPr>
          <w:rFonts w:cs="Arial"/>
        </w:rPr>
        <w:t xml:space="preserve"> clinical examples to illustrate the implications of the principles. Some found this combination </w:t>
      </w:r>
      <w:r>
        <w:rPr>
          <w:rFonts w:cs="Arial"/>
        </w:rPr>
        <w:t xml:space="preserve">problematic and unlikely </w:t>
      </w:r>
      <w:r w:rsidRPr="00377975">
        <w:rPr>
          <w:rFonts w:cs="Arial"/>
        </w:rPr>
        <w:t xml:space="preserve">to be useful in practice, where others thought the examples </w:t>
      </w:r>
      <w:r>
        <w:rPr>
          <w:rFonts w:cs="Arial"/>
        </w:rPr>
        <w:t xml:space="preserve">effectively </w:t>
      </w:r>
      <w:r w:rsidRPr="00377975">
        <w:rPr>
          <w:rFonts w:cs="Arial"/>
        </w:rPr>
        <w:t xml:space="preserve">illustrated the tensions between the principles and </w:t>
      </w:r>
      <w:r>
        <w:rPr>
          <w:rFonts w:cs="Arial"/>
        </w:rPr>
        <w:t xml:space="preserve">their practical </w:t>
      </w:r>
      <w:r w:rsidRPr="00377975">
        <w:rPr>
          <w:rFonts w:cs="Arial"/>
        </w:rPr>
        <w:t xml:space="preserve">impact. </w:t>
      </w:r>
    </w:p>
    <w:p w14:paraId="0FE99621" w14:textId="77777777" w:rsidR="00966826" w:rsidRPr="00377975" w:rsidRDefault="00966826" w:rsidP="00966826">
      <w:pPr>
        <w:autoSpaceDE w:val="0"/>
        <w:autoSpaceDN w:val="0"/>
        <w:adjustRightInd w:val="0"/>
        <w:rPr>
          <w:rFonts w:cs="Arial"/>
        </w:rPr>
      </w:pPr>
    </w:p>
    <w:p w14:paraId="0F312B69" w14:textId="77777777" w:rsidR="00966826" w:rsidRDefault="00966826" w:rsidP="00966826">
      <w:pPr>
        <w:autoSpaceDE w:val="0"/>
        <w:autoSpaceDN w:val="0"/>
        <w:adjustRightInd w:val="0"/>
        <w:rPr>
          <w:rFonts w:cs="Arial"/>
        </w:rPr>
      </w:pPr>
      <w:r w:rsidRPr="00377975">
        <w:rPr>
          <w:rFonts w:cs="Arial"/>
        </w:rPr>
        <w:t xml:space="preserve">A number of submitters suggested that the Framework </w:t>
      </w:r>
      <w:r>
        <w:rPr>
          <w:rFonts w:cs="Arial"/>
        </w:rPr>
        <w:t>c</w:t>
      </w:r>
      <w:r w:rsidRPr="00377975">
        <w:rPr>
          <w:rFonts w:cs="Arial"/>
        </w:rPr>
        <w:t xml:space="preserve">ould be more helpful in practice </w:t>
      </w:r>
      <w:r>
        <w:rPr>
          <w:rFonts w:cs="Arial"/>
        </w:rPr>
        <w:t xml:space="preserve">if it included </w:t>
      </w:r>
      <w:r w:rsidRPr="00377975">
        <w:rPr>
          <w:rFonts w:cs="Arial"/>
        </w:rPr>
        <w:t>practical flow diagrams or decision trees as appendices</w:t>
      </w:r>
      <w:r>
        <w:rPr>
          <w:rFonts w:cs="Arial"/>
        </w:rPr>
        <w:t>,</w:t>
      </w:r>
      <w:r w:rsidRPr="00377975">
        <w:rPr>
          <w:rFonts w:cs="Arial"/>
        </w:rPr>
        <w:t xml:space="preserve"> or </w:t>
      </w:r>
      <w:r>
        <w:rPr>
          <w:rFonts w:cs="Arial"/>
        </w:rPr>
        <w:t xml:space="preserve">if </w:t>
      </w:r>
      <w:r w:rsidRPr="00377975">
        <w:rPr>
          <w:rFonts w:cs="Arial"/>
        </w:rPr>
        <w:t xml:space="preserve">additional guidance documents </w:t>
      </w:r>
      <w:r>
        <w:rPr>
          <w:rFonts w:cs="Arial"/>
        </w:rPr>
        <w:t xml:space="preserve">were published alongside it </w:t>
      </w:r>
      <w:r w:rsidRPr="00377975">
        <w:rPr>
          <w:rFonts w:cs="Arial"/>
        </w:rPr>
        <w:t xml:space="preserve">to assist </w:t>
      </w:r>
      <w:r>
        <w:rPr>
          <w:rFonts w:cs="Arial"/>
        </w:rPr>
        <w:t xml:space="preserve">people </w:t>
      </w:r>
      <w:r w:rsidRPr="00377975">
        <w:rPr>
          <w:rFonts w:cs="Arial"/>
        </w:rPr>
        <w:t>in practical</w:t>
      </w:r>
      <w:r>
        <w:rPr>
          <w:rFonts w:cs="Arial"/>
        </w:rPr>
        <w:t>ly</w:t>
      </w:r>
      <w:r w:rsidRPr="00377975">
        <w:rPr>
          <w:rFonts w:cs="Arial"/>
        </w:rPr>
        <w:t xml:space="preserve"> </w:t>
      </w:r>
      <w:r>
        <w:rPr>
          <w:rFonts w:cs="Arial"/>
        </w:rPr>
        <w:t xml:space="preserve">applying </w:t>
      </w:r>
      <w:r w:rsidRPr="00377975">
        <w:rPr>
          <w:rFonts w:cs="Arial"/>
        </w:rPr>
        <w:t>the principles.</w:t>
      </w:r>
    </w:p>
    <w:p w14:paraId="6C5B1031" w14:textId="77777777" w:rsidR="00966826" w:rsidRDefault="00966826" w:rsidP="00966826">
      <w:pPr>
        <w:autoSpaceDE w:val="0"/>
        <w:autoSpaceDN w:val="0"/>
        <w:adjustRightInd w:val="0"/>
        <w:rPr>
          <w:rFonts w:cs="Arial"/>
        </w:rPr>
      </w:pPr>
    </w:p>
    <w:p w14:paraId="7C8918B7" w14:textId="77777777" w:rsidR="00966826" w:rsidRDefault="00966826" w:rsidP="00966826">
      <w:pPr>
        <w:autoSpaceDE w:val="0"/>
        <w:autoSpaceDN w:val="0"/>
        <w:adjustRightInd w:val="0"/>
        <w:rPr>
          <w:rFonts w:cs="Arial"/>
        </w:rPr>
      </w:pPr>
      <w:r>
        <w:rPr>
          <w:rFonts w:cs="Arial"/>
        </w:rPr>
        <w:t xml:space="preserve">The need for more clarity on how to implement or use the guidance was a very strong theme. </w:t>
      </w:r>
    </w:p>
    <w:p w14:paraId="5DB330E8" w14:textId="77777777" w:rsidR="00966826" w:rsidRPr="008565C1" w:rsidRDefault="00966826" w:rsidP="00966826">
      <w:pPr>
        <w:spacing w:after="240"/>
        <w:rPr>
          <w:rFonts w:cs="Arial"/>
        </w:rPr>
      </w:pPr>
      <w:r>
        <w:rPr>
          <w:rFonts w:cs="Arial"/>
        </w:rPr>
        <w:lastRenderedPageBreak/>
        <w:t>Submitters suggested that NEAC should f</w:t>
      </w:r>
      <w:r w:rsidRPr="008565C1">
        <w:rPr>
          <w:rFonts w:cs="Arial"/>
        </w:rPr>
        <w:t>acilitat</w:t>
      </w:r>
      <w:r>
        <w:rPr>
          <w:rFonts w:cs="Arial"/>
        </w:rPr>
        <w:t xml:space="preserve">e </w:t>
      </w:r>
      <w:r w:rsidRPr="008565C1">
        <w:rPr>
          <w:rFonts w:cs="Arial"/>
        </w:rPr>
        <w:t xml:space="preserve">participation </w:t>
      </w:r>
      <w:r>
        <w:rPr>
          <w:rFonts w:cs="Arial"/>
        </w:rPr>
        <w:t xml:space="preserve">in the Framework by publishing the final iteration in </w:t>
      </w:r>
      <w:r w:rsidRPr="008565C1">
        <w:rPr>
          <w:rFonts w:cs="Arial"/>
        </w:rPr>
        <w:t xml:space="preserve">culturally appropriate and </w:t>
      </w:r>
      <w:r w:rsidRPr="008565C1">
        <w:rPr>
          <w:rFonts w:eastAsiaTheme="majorEastAsia" w:cs="Arial"/>
          <w:lang w:val="en-GB"/>
        </w:rPr>
        <w:t xml:space="preserve">accessible formats such as </w:t>
      </w:r>
      <w:proofErr w:type="spellStart"/>
      <w:r>
        <w:rPr>
          <w:rFonts w:eastAsiaTheme="majorEastAsia" w:cs="Arial"/>
          <w:lang w:val="en-GB"/>
        </w:rPr>
        <w:t>t</w:t>
      </w:r>
      <w:r w:rsidRPr="008565C1">
        <w:rPr>
          <w:rFonts w:eastAsiaTheme="majorEastAsia" w:cs="Arial"/>
          <w:lang w:val="en-GB"/>
        </w:rPr>
        <w:t>e</w:t>
      </w:r>
      <w:proofErr w:type="spellEnd"/>
      <w:r w:rsidRPr="008565C1">
        <w:rPr>
          <w:rFonts w:eastAsiaTheme="majorEastAsia" w:cs="Arial"/>
          <w:lang w:val="en-GB"/>
        </w:rPr>
        <w:t xml:space="preserve"> </w:t>
      </w:r>
      <w:proofErr w:type="spellStart"/>
      <w:r>
        <w:rPr>
          <w:rFonts w:eastAsiaTheme="majorEastAsia" w:cs="Arial"/>
          <w:lang w:val="en-GB"/>
        </w:rPr>
        <w:t>r</w:t>
      </w:r>
      <w:r w:rsidRPr="008565C1">
        <w:rPr>
          <w:rFonts w:eastAsiaTheme="majorEastAsia" w:cs="Arial"/>
          <w:lang w:val="en-GB"/>
        </w:rPr>
        <w:t>eo</w:t>
      </w:r>
      <w:proofErr w:type="spellEnd"/>
      <w:r w:rsidRPr="008565C1">
        <w:rPr>
          <w:rFonts w:eastAsiaTheme="majorEastAsia" w:cs="Arial"/>
          <w:lang w:val="en-GB"/>
        </w:rPr>
        <w:t xml:space="preserve">, </w:t>
      </w:r>
      <w:r>
        <w:rPr>
          <w:rFonts w:eastAsiaTheme="majorEastAsia" w:cs="Arial"/>
          <w:lang w:val="en-GB"/>
        </w:rPr>
        <w:t>‘e</w:t>
      </w:r>
      <w:r w:rsidRPr="008565C1">
        <w:rPr>
          <w:rFonts w:eastAsiaTheme="majorEastAsia" w:cs="Arial"/>
          <w:lang w:val="en-GB"/>
        </w:rPr>
        <w:t xml:space="preserve">asy </w:t>
      </w:r>
      <w:r>
        <w:rPr>
          <w:rFonts w:eastAsiaTheme="majorEastAsia" w:cs="Arial"/>
          <w:lang w:val="en-GB"/>
        </w:rPr>
        <w:t>r</w:t>
      </w:r>
      <w:r w:rsidRPr="008565C1">
        <w:rPr>
          <w:rFonts w:eastAsiaTheme="majorEastAsia" w:cs="Arial"/>
          <w:lang w:val="en-GB"/>
        </w:rPr>
        <w:t>ead</w:t>
      </w:r>
      <w:r>
        <w:rPr>
          <w:rFonts w:eastAsiaTheme="majorEastAsia" w:cs="Arial"/>
          <w:lang w:val="en-GB"/>
        </w:rPr>
        <w:t>’</w:t>
      </w:r>
      <w:r w:rsidRPr="008565C1">
        <w:rPr>
          <w:rFonts w:eastAsiaTheme="majorEastAsia" w:cs="Arial"/>
          <w:lang w:val="en-GB"/>
        </w:rPr>
        <w:t xml:space="preserve">, Braille, </w:t>
      </w:r>
      <w:r>
        <w:rPr>
          <w:rFonts w:eastAsiaTheme="majorEastAsia" w:cs="Arial"/>
          <w:lang w:val="en-GB"/>
        </w:rPr>
        <w:t>a</w:t>
      </w:r>
      <w:r w:rsidRPr="008565C1">
        <w:rPr>
          <w:rFonts w:eastAsiaTheme="majorEastAsia" w:cs="Arial"/>
          <w:lang w:val="en-GB"/>
        </w:rPr>
        <w:t xml:space="preserve">udio and New Zealand Sign Language video. </w:t>
      </w:r>
    </w:p>
    <w:p w14:paraId="3E682C04" w14:textId="77777777" w:rsidR="00966826" w:rsidRDefault="00966826" w:rsidP="00966826">
      <w:pPr>
        <w:pStyle w:val="Heading2"/>
      </w:pPr>
      <w:bookmarkStart w:id="35" w:name="_Toc50025113"/>
      <w:bookmarkStart w:id="36" w:name="_Toc50491736"/>
      <w:r w:rsidRPr="000D7928">
        <w:t>Decision</w:t>
      </w:r>
      <w:r>
        <w:t>-</w:t>
      </w:r>
      <w:r w:rsidRPr="000D7928">
        <w:t>making group</w:t>
      </w:r>
      <w:bookmarkEnd w:id="35"/>
      <w:bookmarkEnd w:id="36"/>
    </w:p>
    <w:p w14:paraId="3D6D7955" w14:textId="67E0133B" w:rsidR="00966826" w:rsidRDefault="00966826" w:rsidP="00966826">
      <w:r w:rsidRPr="00377975">
        <w:t xml:space="preserve">Overall, there was strong support for the establishment of a decision-making group that would have responsibilities in </w:t>
      </w:r>
      <w:r>
        <w:t xml:space="preserve">terms of </w:t>
      </w:r>
      <w:r w:rsidRPr="00377975">
        <w:t xml:space="preserve">resource allocation. There were suggestions on how to improve the composition of </w:t>
      </w:r>
      <w:r>
        <w:t xml:space="preserve">this </w:t>
      </w:r>
      <w:r w:rsidRPr="00377975">
        <w:t xml:space="preserve">group, and feedback on </w:t>
      </w:r>
      <w:r>
        <w:t xml:space="preserve">the </w:t>
      </w:r>
      <w:r w:rsidRPr="00377975">
        <w:t>need</w:t>
      </w:r>
      <w:r>
        <w:t xml:space="preserve"> for</w:t>
      </w:r>
      <w:r w:rsidRPr="00377975">
        <w:t xml:space="preserve"> </w:t>
      </w:r>
      <w:r>
        <w:t xml:space="preserve">a clear definition of </w:t>
      </w:r>
      <w:r w:rsidRPr="00377975">
        <w:t>the role</w:t>
      </w:r>
      <w:r>
        <w:t>s</w:t>
      </w:r>
      <w:r w:rsidRPr="00377975">
        <w:t xml:space="preserve"> of national and local decision-making bodies</w:t>
      </w:r>
      <w:r>
        <w:t xml:space="preserve"> respectively</w:t>
      </w:r>
      <w:r w:rsidRPr="00377975">
        <w:t xml:space="preserve">. </w:t>
      </w:r>
      <w:r>
        <w:t xml:space="preserve">Submitters </w:t>
      </w:r>
      <w:r w:rsidRPr="00377975">
        <w:t xml:space="preserve">noted that </w:t>
      </w:r>
      <w:r>
        <w:t xml:space="preserve">effective </w:t>
      </w:r>
      <w:r w:rsidRPr="00377975">
        <w:t>national resource allocation decision</w:t>
      </w:r>
      <w:r>
        <w:t>-</w:t>
      </w:r>
      <w:r w:rsidRPr="00377975">
        <w:t xml:space="preserve">making </w:t>
      </w:r>
      <w:r>
        <w:t xml:space="preserve">documents and </w:t>
      </w:r>
      <w:r w:rsidRPr="00377975">
        <w:t>bodies already</w:t>
      </w:r>
      <w:r>
        <w:t xml:space="preserve"> exist (for example</w:t>
      </w:r>
      <w:r w:rsidRPr="00377975">
        <w:t>, PHARMAC</w:t>
      </w:r>
      <w:r>
        <w:t>)</w:t>
      </w:r>
      <w:r w:rsidRPr="00377975">
        <w:t xml:space="preserve">, and suggested that </w:t>
      </w:r>
      <w:r>
        <w:t xml:space="preserve">the Framework </w:t>
      </w:r>
      <w:r w:rsidRPr="00377975">
        <w:t xml:space="preserve">acknowledge </w:t>
      </w:r>
      <w:r>
        <w:t>these</w:t>
      </w:r>
      <w:r w:rsidRPr="00377975">
        <w:t xml:space="preserve">. </w:t>
      </w:r>
    </w:p>
    <w:p w14:paraId="1A4EBD4A" w14:textId="77777777" w:rsidR="00966826" w:rsidRPr="00377975" w:rsidRDefault="00966826" w:rsidP="00966826"/>
    <w:p w14:paraId="2BD49097" w14:textId="59C08737" w:rsidR="00966826" w:rsidRDefault="00966826" w:rsidP="00966826">
      <w:r>
        <w:t>One submitter suggested that resource allocation principles be prioritised, to avoid variation in the decision-making process across practitioners, health care settings and DHBs. T</w:t>
      </w:r>
      <w:r w:rsidRPr="00377975">
        <w:t xml:space="preserve">here was support for local decision-making bodies, such as clinical ethics advisory bodies, although </w:t>
      </w:r>
      <w:r>
        <w:t xml:space="preserve">submitters </w:t>
      </w:r>
      <w:r w:rsidRPr="00377975">
        <w:t>acknowledged that there could be issues with lines of delegation if decision</w:t>
      </w:r>
      <w:r>
        <w:t>-</w:t>
      </w:r>
      <w:r w:rsidRPr="00377975">
        <w:t xml:space="preserve">making </w:t>
      </w:r>
      <w:r>
        <w:t xml:space="preserve">were to occur </w:t>
      </w:r>
      <w:r w:rsidRPr="00377975">
        <w:t xml:space="preserve">at both the national and local level. Because of this, submitters </w:t>
      </w:r>
      <w:r>
        <w:t xml:space="preserve">suggested that the Framework should clarify </w:t>
      </w:r>
      <w:r w:rsidRPr="00377975">
        <w:t>how the different levels of decision-makers should work together.</w:t>
      </w:r>
    </w:p>
    <w:p w14:paraId="4A101FD2" w14:textId="77777777" w:rsidR="00966826" w:rsidRPr="003E21D9" w:rsidRDefault="00966826" w:rsidP="00966826"/>
    <w:p w14:paraId="14BBBB1D" w14:textId="67A1A922" w:rsidR="00966826" w:rsidRDefault="00966826" w:rsidP="00966826">
      <w:r>
        <w:t xml:space="preserve">A few submitters suggested that it was unreasonable to quickly convene a decision-making group in the context of a </w:t>
      </w:r>
      <w:proofErr w:type="gramStart"/>
      <w:r>
        <w:t>pandemic, and</w:t>
      </w:r>
      <w:proofErr w:type="gramEnd"/>
      <w:r>
        <w:t xml:space="preserve"> stressed that </w:t>
      </w:r>
      <w:r w:rsidRPr="008565C1">
        <w:rPr>
          <w:rFonts w:cs="Arial"/>
        </w:rPr>
        <w:t xml:space="preserve">the </w:t>
      </w:r>
      <w:r>
        <w:rPr>
          <w:rFonts w:cs="Arial"/>
        </w:rPr>
        <w:t xml:space="preserve">consideration </w:t>
      </w:r>
      <w:r w:rsidRPr="008565C1">
        <w:rPr>
          <w:rFonts w:cs="Arial"/>
        </w:rPr>
        <w:t xml:space="preserve">of such a group should not delay </w:t>
      </w:r>
      <w:r>
        <w:rPr>
          <w:rFonts w:cs="Arial"/>
        </w:rPr>
        <w:t xml:space="preserve">the provision of </w:t>
      </w:r>
      <w:r w:rsidRPr="008565C1">
        <w:rPr>
          <w:rFonts w:cs="Arial"/>
        </w:rPr>
        <w:t>effective medical care</w:t>
      </w:r>
      <w:r>
        <w:rPr>
          <w:rFonts w:cs="Arial"/>
        </w:rPr>
        <w:t xml:space="preserve"> where decisions need to be ma</w:t>
      </w:r>
      <w:r>
        <w:t xml:space="preserve">de fast (sometimes within minutes). One submitter suggested an </w:t>
      </w:r>
      <w:proofErr w:type="gramStart"/>
      <w:r>
        <w:t>0800 support</w:t>
      </w:r>
      <w:proofErr w:type="gramEnd"/>
      <w:r>
        <w:t xml:space="preserve"> number to address this.</w:t>
      </w:r>
    </w:p>
    <w:p w14:paraId="3FE26221" w14:textId="77777777" w:rsidR="00966826" w:rsidRDefault="00966826" w:rsidP="00966826"/>
    <w:p w14:paraId="0105FB3D" w14:textId="6ADB7197" w:rsidR="00966826" w:rsidRDefault="00966826" w:rsidP="00966826">
      <w:r w:rsidRPr="003254E4">
        <w:t>There</w:t>
      </w:r>
      <w:r>
        <w:t xml:space="preserve"> was support for the idea that independent decision</w:t>
      </w:r>
      <w:r w:rsidRPr="008565C1">
        <w:t>-making group</w:t>
      </w:r>
      <w:r>
        <w:t>s</w:t>
      </w:r>
      <w:r w:rsidRPr="008565C1">
        <w:t xml:space="preserve"> should be responsible for enacting triage plan</w:t>
      </w:r>
      <w:r>
        <w:t>s.</w:t>
      </w:r>
    </w:p>
    <w:p w14:paraId="7FA19361" w14:textId="77777777" w:rsidR="00966826" w:rsidRPr="00C84F58" w:rsidRDefault="00966826" w:rsidP="00966826">
      <w:pPr>
        <w:rPr>
          <w:b/>
        </w:rPr>
      </w:pPr>
    </w:p>
    <w:p w14:paraId="5D84135F" w14:textId="749FF53C" w:rsidR="00966826" w:rsidRDefault="00966826" w:rsidP="00966826">
      <w:pPr>
        <w:rPr>
          <w:color w:val="000000"/>
        </w:rPr>
      </w:pPr>
      <w:r w:rsidRPr="00377975">
        <w:t xml:space="preserve">Concerns were raised that regional </w:t>
      </w:r>
      <w:r>
        <w:t>variation</w:t>
      </w:r>
      <w:r w:rsidRPr="00377975">
        <w:t xml:space="preserve"> arising from the establishment of local decision-making groups could result in </w:t>
      </w:r>
      <w:r>
        <w:t>‘</w:t>
      </w:r>
      <w:r w:rsidRPr="00377975">
        <w:t>postcode health</w:t>
      </w:r>
      <w:r>
        <w:t xml:space="preserve"> </w:t>
      </w:r>
      <w:r w:rsidRPr="00377975">
        <w:t>care</w:t>
      </w:r>
      <w:r>
        <w:t>’,</w:t>
      </w:r>
      <w:r w:rsidRPr="00377975">
        <w:t xml:space="preserve"> whereby a person’s location determines the care they receive</w:t>
      </w:r>
      <w:r>
        <w:t>. I</w:t>
      </w:r>
      <w:r w:rsidRPr="00377975">
        <w:t xml:space="preserve">t was suggested that this could be mitigated </w:t>
      </w:r>
      <w:r>
        <w:t xml:space="preserve">through </w:t>
      </w:r>
      <w:r w:rsidRPr="00377975">
        <w:t xml:space="preserve">support from </w:t>
      </w:r>
      <w:r>
        <w:t>c</w:t>
      </w:r>
      <w:r w:rsidRPr="00377975">
        <w:t xml:space="preserve">linical </w:t>
      </w:r>
      <w:r>
        <w:t>e</w:t>
      </w:r>
      <w:r w:rsidRPr="00377975">
        <w:t xml:space="preserve">thics </w:t>
      </w:r>
      <w:r>
        <w:t>a</w:t>
      </w:r>
      <w:r w:rsidRPr="00377975">
        <w:t xml:space="preserve">dvisory </w:t>
      </w:r>
      <w:r>
        <w:t>g</w:t>
      </w:r>
      <w:r w:rsidRPr="00377975">
        <w:t xml:space="preserve">roups at each </w:t>
      </w:r>
      <w:r w:rsidRPr="003254E4">
        <w:rPr>
          <w:color w:val="000000"/>
        </w:rPr>
        <w:t xml:space="preserve">DHB. </w:t>
      </w:r>
      <w:r>
        <w:rPr>
          <w:color w:val="000000"/>
        </w:rPr>
        <w:t xml:space="preserve">A few submitters suggested that such groups should be permanent, and not established only in emergency situations. </w:t>
      </w:r>
    </w:p>
    <w:p w14:paraId="378FE886" w14:textId="77777777" w:rsidR="00966826" w:rsidRDefault="00966826" w:rsidP="00966826">
      <w:pPr>
        <w:rPr>
          <w:b/>
          <w:color w:val="000000"/>
        </w:rPr>
      </w:pPr>
    </w:p>
    <w:p w14:paraId="2EE816E7" w14:textId="77777777" w:rsidR="00966826" w:rsidRDefault="00966826" w:rsidP="00966826">
      <w:pPr>
        <w:spacing w:after="240"/>
      </w:pPr>
      <w:r>
        <w:rPr>
          <w:rFonts w:eastAsiaTheme="majorEastAsia" w:cs="Arial"/>
        </w:rPr>
        <w:t>Many submitters suggested that the Framework should specify terms of reference and</w:t>
      </w:r>
      <w:r w:rsidRPr="008565C1">
        <w:rPr>
          <w:rFonts w:eastAsiaTheme="majorEastAsia" w:cs="Arial"/>
        </w:rPr>
        <w:t xml:space="preserve"> requisite competencies for a decision-making group, including </w:t>
      </w:r>
      <w:proofErr w:type="spellStart"/>
      <w:r>
        <w:rPr>
          <w:rFonts w:eastAsiaTheme="majorEastAsia" w:cs="Arial"/>
        </w:rPr>
        <w:t>m</w:t>
      </w:r>
      <w:r w:rsidRPr="008565C1">
        <w:rPr>
          <w:rFonts w:eastAsiaTheme="majorEastAsia" w:cs="Arial"/>
        </w:rPr>
        <w:t>ātauranga</w:t>
      </w:r>
      <w:proofErr w:type="spellEnd"/>
      <w:r w:rsidRPr="008565C1">
        <w:rPr>
          <w:rFonts w:eastAsiaTheme="majorEastAsia" w:cs="Arial"/>
        </w:rPr>
        <w:t xml:space="preserve"> M</w:t>
      </w:r>
      <w:proofErr w:type="spellStart"/>
      <w:r w:rsidRPr="008565C1">
        <w:rPr>
          <w:rFonts w:eastAsiaTheme="majorEastAsia" w:cs="Arial"/>
          <w:lang w:val="mi-NZ"/>
        </w:rPr>
        <w:t>āori</w:t>
      </w:r>
      <w:proofErr w:type="spellEnd"/>
      <w:r w:rsidRPr="008565C1">
        <w:rPr>
          <w:rFonts w:eastAsiaTheme="majorEastAsia" w:cs="Arial"/>
          <w:lang w:val="mi-NZ"/>
        </w:rPr>
        <w:t xml:space="preserve">, </w:t>
      </w:r>
      <w:proofErr w:type="spellStart"/>
      <w:r>
        <w:rPr>
          <w:rFonts w:eastAsiaTheme="majorEastAsia" w:cs="Arial"/>
          <w:lang w:val="mi-NZ"/>
        </w:rPr>
        <w:t>h</w:t>
      </w:r>
      <w:r w:rsidRPr="008565C1">
        <w:rPr>
          <w:rFonts w:eastAsiaTheme="majorEastAsia" w:cs="Arial"/>
          <w:lang w:val="mi-NZ"/>
        </w:rPr>
        <w:t>uman</w:t>
      </w:r>
      <w:proofErr w:type="spellEnd"/>
      <w:r w:rsidRPr="008565C1">
        <w:rPr>
          <w:rFonts w:eastAsiaTheme="majorEastAsia" w:cs="Arial"/>
          <w:lang w:val="mi-NZ"/>
        </w:rPr>
        <w:t xml:space="preserve"> </w:t>
      </w:r>
      <w:proofErr w:type="spellStart"/>
      <w:r>
        <w:rPr>
          <w:rFonts w:eastAsiaTheme="majorEastAsia" w:cs="Arial"/>
          <w:lang w:val="mi-NZ"/>
        </w:rPr>
        <w:t>r</w:t>
      </w:r>
      <w:r w:rsidRPr="008565C1">
        <w:rPr>
          <w:rFonts w:eastAsiaTheme="majorEastAsia" w:cs="Arial"/>
          <w:lang w:val="mi-NZ"/>
        </w:rPr>
        <w:t>ights</w:t>
      </w:r>
      <w:proofErr w:type="spellEnd"/>
      <w:r w:rsidRPr="008565C1">
        <w:rPr>
          <w:rFonts w:eastAsiaTheme="majorEastAsia" w:cs="Arial"/>
          <w:lang w:val="mi-NZ"/>
        </w:rPr>
        <w:t xml:space="preserve"> and </w:t>
      </w:r>
      <w:r>
        <w:rPr>
          <w:rFonts w:eastAsiaTheme="majorEastAsia" w:cs="Arial"/>
        </w:rPr>
        <w:t>e</w:t>
      </w:r>
      <w:r w:rsidRPr="008565C1">
        <w:rPr>
          <w:rFonts w:eastAsiaTheme="majorEastAsia" w:cs="Arial"/>
        </w:rPr>
        <w:t xml:space="preserve">thics </w:t>
      </w:r>
      <w:r>
        <w:rPr>
          <w:rFonts w:eastAsiaTheme="majorEastAsia" w:cs="Arial"/>
        </w:rPr>
        <w:t xml:space="preserve">competencies, or specify </w:t>
      </w:r>
      <w:r w:rsidRPr="008565C1">
        <w:rPr>
          <w:rFonts w:eastAsiaTheme="majorEastAsia" w:cs="Arial"/>
        </w:rPr>
        <w:t xml:space="preserve">training to build such competencies. </w:t>
      </w:r>
    </w:p>
    <w:p w14:paraId="18C376BC" w14:textId="77777777" w:rsidR="00966826" w:rsidRDefault="00966826" w:rsidP="00966826">
      <w:pPr>
        <w:autoSpaceDE w:val="0"/>
        <w:autoSpaceDN w:val="0"/>
        <w:adjustRightInd w:val="0"/>
        <w:rPr>
          <w:rFonts w:cs="Arial"/>
        </w:rPr>
      </w:pPr>
      <w:r>
        <w:rPr>
          <w:rFonts w:cs="Arial"/>
          <w:color w:val="000000"/>
        </w:rPr>
        <w:t xml:space="preserve">There was some resistance to the idea of decision-making groups; submitters were concerned that the value of such groups needed to be assessed against </w:t>
      </w:r>
      <w:r w:rsidRPr="00610983">
        <w:rPr>
          <w:rFonts w:cs="Arial"/>
        </w:rPr>
        <w:t xml:space="preserve">structures and processes already in </w:t>
      </w:r>
      <w:r>
        <w:rPr>
          <w:rFonts w:cs="Arial"/>
        </w:rPr>
        <w:t>place</w:t>
      </w:r>
      <w:r w:rsidRPr="00610983">
        <w:rPr>
          <w:rFonts w:cs="Arial"/>
        </w:rPr>
        <w:t>.</w:t>
      </w:r>
      <w:r w:rsidRPr="00610983">
        <w:t xml:space="preserve"> </w:t>
      </w:r>
      <w:r>
        <w:t>Some submitters were concerned that r</w:t>
      </w:r>
      <w:r w:rsidRPr="00610983">
        <w:rPr>
          <w:rFonts w:cs="Arial"/>
        </w:rPr>
        <w:t xml:space="preserve">elying on separate health bodies to develop guidelines could lead to further inequities </w:t>
      </w:r>
      <w:r>
        <w:rPr>
          <w:rFonts w:cs="Arial"/>
        </w:rPr>
        <w:t xml:space="preserve">and </w:t>
      </w:r>
      <w:r w:rsidRPr="00610983">
        <w:rPr>
          <w:rFonts w:cs="Arial"/>
        </w:rPr>
        <w:t xml:space="preserve">inconsistencies, and </w:t>
      </w:r>
      <w:r>
        <w:rPr>
          <w:rFonts w:cs="Arial"/>
        </w:rPr>
        <w:t xml:space="preserve">a </w:t>
      </w:r>
      <w:r w:rsidRPr="00610983">
        <w:rPr>
          <w:rFonts w:cs="Arial"/>
        </w:rPr>
        <w:t>loss of public trust.</w:t>
      </w:r>
    </w:p>
    <w:p w14:paraId="1DAEC378" w14:textId="77777777" w:rsidR="00966826" w:rsidRDefault="00966826" w:rsidP="00966826">
      <w:pPr>
        <w:autoSpaceDE w:val="0"/>
        <w:autoSpaceDN w:val="0"/>
        <w:adjustRightInd w:val="0"/>
        <w:rPr>
          <w:rFonts w:cs="Arial"/>
        </w:rPr>
      </w:pPr>
    </w:p>
    <w:p w14:paraId="548D9CC6" w14:textId="77777777" w:rsidR="00966826" w:rsidRDefault="00966826" w:rsidP="00966826">
      <w:pPr>
        <w:autoSpaceDE w:val="0"/>
        <w:autoSpaceDN w:val="0"/>
        <w:adjustRightInd w:val="0"/>
        <w:rPr>
          <w:rFonts w:cs="Arial"/>
        </w:rPr>
      </w:pPr>
      <w:r>
        <w:rPr>
          <w:rFonts w:cs="Arial"/>
        </w:rPr>
        <w:lastRenderedPageBreak/>
        <w:t xml:space="preserve">Some submitters recommended that the </w:t>
      </w:r>
      <w:r w:rsidRPr="008565C1">
        <w:rPr>
          <w:rFonts w:cs="Arial"/>
        </w:rPr>
        <w:t xml:space="preserve">scope of a decision-making group </w:t>
      </w:r>
      <w:r>
        <w:rPr>
          <w:rFonts w:cs="Arial"/>
        </w:rPr>
        <w:t xml:space="preserve">should </w:t>
      </w:r>
      <w:r w:rsidRPr="008565C1">
        <w:rPr>
          <w:rFonts w:cs="Arial"/>
        </w:rPr>
        <w:t>include</w:t>
      </w:r>
      <w:r>
        <w:rPr>
          <w:rFonts w:cs="Arial"/>
        </w:rPr>
        <w:t xml:space="preserve"> the provision of guidance </w:t>
      </w:r>
      <w:r w:rsidRPr="008565C1">
        <w:rPr>
          <w:rFonts w:cs="Arial"/>
        </w:rPr>
        <w:t xml:space="preserve">on </w:t>
      </w:r>
      <w:r>
        <w:rPr>
          <w:rFonts w:cs="Arial"/>
        </w:rPr>
        <w:t xml:space="preserve">which </w:t>
      </w:r>
      <w:r w:rsidRPr="008565C1">
        <w:rPr>
          <w:rFonts w:cs="Arial"/>
        </w:rPr>
        <w:t xml:space="preserve">services within </w:t>
      </w:r>
      <w:r>
        <w:rPr>
          <w:rFonts w:cs="Arial"/>
        </w:rPr>
        <w:t xml:space="preserve">a </w:t>
      </w:r>
      <w:r w:rsidRPr="008565C1">
        <w:rPr>
          <w:rFonts w:cs="Arial"/>
        </w:rPr>
        <w:t>DHB are deferred, and which may continue</w:t>
      </w:r>
      <w:r>
        <w:rPr>
          <w:rFonts w:cs="Arial"/>
        </w:rPr>
        <w:t>,</w:t>
      </w:r>
      <w:r w:rsidRPr="008565C1">
        <w:rPr>
          <w:rFonts w:cs="Arial"/>
        </w:rPr>
        <w:t xml:space="preserve"> during the peak of a pandemic, </w:t>
      </w:r>
      <w:r>
        <w:rPr>
          <w:rFonts w:cs="Arial"/>
        </w:rPr>
        <w:t xml:space="preserve">across </w:t>
      </w:r>
      <w:r w:rsidRPr="008565C1">
        <w:rPr>
          <w:rFonts w:cs="Arial"/>
        </w:rPr>
        <w:t xml:space="preserve">alert levels. </w:t>
      </w:r>
      <w:r>
        <w:rPr>
          <w:rFonts w:cs="Arial"/>
        </w:rPr>
        <w:t xml:space="preserve">Submitters noted that this was a particular issue in the </w:t>
      </w:r>
      <w:r w:rsidRPr="008565C1">
        <w:rPr>
          <w:rFonts w:cs="Arial"/>
        </w:rPr>
        <w:t>emergency department (</w:t>
      </w:r>
      <w:proofErr w:type="gramStart"/>
      <w:r w:rsidRPr="008565C1">
        <w:rPr>
          <w:rFonts w:cs="Arial"/>
        </w:rPr>
        <w:t xml:space="preserve">ED) </w:t>
      </w:r>
      <w:r>
        <w:rPr>
          <w:rFonts w:cs="Arial"/>
        </w:rPr>
        <w:t xml:space="preserve"> context</w:t>
      </w:r>
      <w:proofErr w:type="gramEnd"/>
      <w:r>
        <w:rPr>
          <w:rFonts w:cs="Arial"/>
        </w:rPr>
        <w:t xml:space="preserve">; for example, ED workers potentially had to </w:t>
      </w:r>
      <w:r w:rsidRPr="008565C1">
        <w:rPr>
          <w:rFonts w:cs="Arial"/>
        </w:rPr>
        <w:t xml:space="preserve">deal with patients in both COVID-19 and non-COVID-19 streams. </w:t>
      </w:r>
    </w:p>
    <w:p w14:paraId="1BB36FE1" w14:textId="77777777" w:rsidR="00966826" w:rsidRDefault="00966826" w:rsidP="00966826">
      <w:pPr>
        <w:pStyle w:val="Heading2"/>
      </w:pPr>
      <w:bookmarkStart w:id="37" w:name="_Toc50025114"/>
      <w:bookmarkStart w:id="38" w:name="_Toc50491737"/>
      <w:r>
        <w:t>Ethical principles</w:t>
      </w:r>
      <w:bookmarkEnd w:id="37"/>
      <w:bookmarkEnd w:id="38"/>
    </w:p>
    <w:p w14:paraId="4DD7D764" w14:textId="26D81B8C" w:rsidR="00966826" w:rsidRDefault="00966826" w:rsidP="00966826">
      <w:r>
        <w:t xml:space="preserve">Though the Framework explores ethical tensions between equity and utility to guide decision-makers’ consideration of these issues, submitters noted that it includes no guidelines about reaching a </w:t>
      </w:r>
      <w:proofErr w:type="gramStart"/>
      <w:r>
        <w:t>decision, and</w:t>
      </w:r>
      <w:proofErr w:type="gramEnd"/>
      <w:r>
        <w:t xml:space="preserve"> suggested that this element would be helpful. </w:t>
      </w:r>
    </w:p>
    <w:p w14:paraId="4BA58C8C" w14:textId="77777777" w:rsidR="00966826" w:rsidRDefault="00966826" w:rsidP="00966826"/>
    <w:p w14:paraId="6C6EEA32" w14:textId="290DA3AA" w:rsidR="00966826" w:rsidRDefault="00966826" w:rsidP="00966826">
      <w:r>
        <w:t xml:space="preserve">One submitter recommended that the Framework should explain the utility principle (that is, the aim to save the most lives) in the same detail as it explains the equity principle (that is, the aim to ensure fair outcomes between groups). Submitters also requested some guidance about whether equity and utilitarian approaches were likely to prioritised in the same way throughout a pandemic, or whether prioritisation of either principle would shift contextually. For instance, submitters noted that prioritisation might shift between public health approaches (for example, in the context of vaccine allocation) and primarily clinical approaches (for example, in the context of intensive care unit (ICU) allocation). </w:t>
      </w:r>
    </w:p>
    <w:p w14:paraId="0B4C6B35" w14:textId="77777777" w:rsidR="00966826" w:rsidRDefault="00966826" w:rsidP="00966826"/>
    <w:p w14:paraId="761B7C51" w14:textId="77777777" w:rsidR="00966826" w:rsidRDefault="00966826" w:rsidP="00966826">
      <w:r>
        <w:t xml:space="preserve">One submitter identified that the Framework should expand on relevant principles, including in terms of risk, uncertainty and intergenerational equity, by including a description of the opportunity cost principle, the intergenerational principle and the precautionary principle. </w:t>
      </w:r>
    </w:p>
    <w:p w14:paraId="177D2EE2" w14:textId="0DB97772" w:rsidR="00966826" w:rsidRDefault="00966826" w:rsidP="00966826">
      <w:pPr>
        <w:pStyle w:val="CommentText"/>
      </w:pPr>
      <w:r>
        <w:t>Submitters expressed the view that the principle of ‘minimising harm’ is worth adding to the list of foundational ethical principles, as it is conceptually distinct from some of the other principles stated and has particular relevance in the context of vaccines, ICU care and PPE use.</w:t>
      </w:r>
    </w:p>
    <w:p w14:paraId="43F48500" w14:textId="77777777" w:rsidR="00966826" w:rsidRDefault="00966826" w:rsidP="00966826">
      <w:pPr>
        <w:pStyle w:val="CommentText"/>
      </w:pPr>
    </w:p>
    <w:p w14:paraId="387C4687" w14:textId="169F1EDA" w:rsidR="00966826" w:rsidRDefault="00966826" w:rsidP="00966826">
      <w:pPr>
        <w:pStyle w:val="CommentText"/>
      </w:pPr>
      <w:r>
        <w:t xml:space="preserve">Other submitters were of the view that the Framework could define the principle of “prioritising the people in most need” more clearly and provide an explanation of how it differs from other principles listed, stating that, as it stands, the Framework appears to conflate this principle with other principles, and therefore appears at times redundant. Some submitters suggested that this principle be removed unless it could be clearly differentiated in a way that made it practically useful.  </w:t>
      </w:r>
    </w:p>
    <w:p w14:paraId="12AA8C40" w14:textId="77777777" w:rsidR="00966826" w:rsidRDefault="00966826" w:rsidP="00966826">
      <w:pPr>
        <w:pStyle w:val="Heading2"/>
      </w:pPr>
      <w:bookmarkStart w:id="39" w:name="_Toc50025115"/>
      <w:bookmarkStart w:id="40" w:name="_Toc50491738"/>
      <w:r>
        <w:t>Equity</w:t>
      </w:r>
      <w:bookmarkEnd w:id="39"/>
      <w:bookmarkEnd w:id="40"/>
    </w:p>
    <w:p w14:paraId="33D3399C" w14:textId="77777777" w:rsidR="00966826" w:rsidRPr="008565C1" w:rsidRDefault="00966826" w:rsidP="00966826">
      <w:pPr>
        <w:autoSpaceDE w:val="0"/>
        <w:autoSpaceDN w:val="0"/>
        <w:adjustRightInd w:val="0"/>
        <w:rPr>
          <w:rFonts w:cs="Arial"/>
          <w:color w:val="000000"/>
        </w:rPr>
      </w:pPr>
    </w:p>
    <w:p w14:paraId="4955DEA7" w14:textId="77777777" w:rsidR="00966826" w:rsidRDefault="00966826" w:rsidP="00966826">
      <w:pPr>
        <w:autoSpaceDE w:val="0"/>
        <w:autoSpaceDN w:val="0"/>
        <w:adjustRightInd w:val="0"/>
      </w:pPr>
      <w:r>
        <w:rPr>
          <w:rFonts w:cs="Arial"/>
          <w:iCs/>
          <w:color w:val="000000"/>
        </w:rPr>
        <w:t xml:space="preserve">A number of submissions stressed that discrimination exists at systemic and clinical levels within the health system and affects </w:t>
      </w:r>
      <w:r w:rsidRPr="008565C1">
        <w:rPr>
          <w:rFonts w:cs="Arial"/>
          <w:color w:val="000000"/>
        </w:rPr>
        <w:t>Māori</w:t>
      </w:r>
      <w:r>
        <w:rPr>
          <w:rFonts w:cs="Arial"/>
          <w:color w:val="000000"/>
        </w:rPr>
        <w:t xml:space="preserve"> in particular but also other groups in our society. </w:t>
      </w:r>
      <w:r>
        <w:rPr>
          <w:rFonts w:cs="Arial"/>
          <w:iCs/>
          <w:color w:val="000000"/>
        </w:rPr>
        <w:t xml:space="preserve">One submitter felt the Framework does not explain equity with enough nuance – this submission maintained that </w:t>
      </w:r>
      <w:r>
        <w:t xml:space="preserve">equity was not about everyone receiving the </w:t>
      </w:r>
      <w:r>
        <w:lastRenderedPageBreak/>
        <w:t>same benefits, but about recognising that some people might require more benefits to allow them to become equal to another population group.</w:t>
      </w:r>
    </w:p>
    <w:p w14:paraId="7E4B835B" w14:textId="77777777" w:rsidR="00966826" w:rsidRDefault="00966826" w:rsidP="00966826">
      <w:pPr>
        <w:autoSpaceDE w:val="0"/>
        <w:autoSpaceDN w:val="0"/>
        <w:adjustRightInd w:val="0"/>
      </w:pPr>
    </w:p>
    <w:p w14:paraId="31FB4055" w14:textId="77777777" w:rsidR="00966826" w:rsidRDefault="00966826" w:rsidP="00966826">
      <w:pPr>
        <w:autoSpaceDE w:val="0"/>
        <w:autoSpaceDN w:val="0"/>
        <w:adjustRightInd w:val="0"/>
        <w:rPr>
          <w:rFonts w:cs="Arial"/>
          <w:iCs/>
          <w:color w:val="000000"/>
        </w:rPr>
      </w:pPr>
      <w:r>
        <w:t>Submitters</w:t>
      </w:r>
      <w:r>
        <w:rPr>
          <w:rFonts w:cs="Arial"/>
          <w:iCs/>
          <w:color w:val="000000"/>
        </w:rPr>
        <w:t xml:space="preserve"> indicated that they would like to see the Framework more clearly acknowledge the context of societal values within which it sits, and to provide more explicit guidance for decision-makers in this context, so that they would be able to use the Framework to navigate those values and actively address inequitable outcomes that are highlighted during pandemics. </w:t>
      </w:r>
    </w:p>
    <w:p w14:paraId="0EDFC38A" w14:textId="77777777" w:rsidR="00966826" w:rsidRDefault="00966826" w:rsidP="00966826">
      <w:pPr>
        <w:autoSpaceDE w:val="0"/>
        <w:autoSpaceDN w:val="0"/>
        <w:adjustRightInd w:val="0"/>
        <w:rPr>
          <w:rFonts w:cs="Arial"/>
          <w:iCs/>
          <w:color w:val="000000"/>
        </w:rPr>
      </w:pPr>
    </w:p>
    <w:p w14:paraId="395D43A0" w14:textId="77777777" w:rsidR="00966826" w:rsidRDefault="00966826" w:rsidP="00966826">
      <w:pPr>
        <w:autoSpaceDE w:val="0"/>
        <w:autoSpaceDN w:val="0"/>
        <w:adjustRightInd w:val="0"/>
        <w:rPr>
          <w:rFonts w:cs="Arial"/>
          <w:color w:val="000000"/>
        </w:rPr>
      </w:pPr>
      <w:r>
        <w:t xml:space="preserve">Some submitters mentioned that they would like to see a </w:t>
      </w:r>
      <w:proofErr w:type="spellStart"/>
      <w:r>
        <w:t>Tiriti</w:t>
      </w:r>
      <w:proofErr w:type="spellEnd"/>
      <w:r>
        <w:t xml:space="preserve">-based equity approach prioritised in the Framework, noting that a </w:t>
      </w:r>
      <w:proofErr w:type="spellStart"/>
      <w:r>
        <w:t>Tiriti</w:t>
      </w:r>
      <w:proofErr w:type="spellEnd"/>
      <w:r>
        <w:t xml:space="preserve">-based focus on equity would challenge the ethical principle of utilitarianism and encourage a more equitable distribution of resources across a number of already disadvantaged groups in society, including </w:t>
      </w:r>
      <w:r w:rsidRPr="00834027">
        <w:rPr>
          <w:rFonts w:cs="Arial"/>
          <w:color w:val="000000"/>
        </w:rPr>
        <w:t>Māori</w:t>
      </w:r>
      <w:r>
        <w:rPr>
          <w:rFonts w:cs="Arial"/>
          <w:color w:val="000000"/>
        </w:rPr>
        <w:t xml:space="preserve"> and Pacific peoples, the disabled community, older people and immigrant communities, who often present with pre-existing health conditions. </w:t>
      </w:r>
      <w:r>
        <w:t xml:space="preserve">A </w:t>
      </w:r>
      <w:proofErr w:type="spellStart"/>
      <w:r>
        <w:t>Tiriti</w:t>
      </w:r>
      <w:proofErr w:type="spellEnd"/>
      <w:r>
        <w:t xml:space="preserve">-based focus on equity is in line with a World Health Organization-endorsed human rights focus that aims to remediate health inequities among different groups.   </w:t>
      </w:r>
    </w:p>
    <w:p w14:paraId="49F81755" w14:textId="77777777" w:rsidR="00966826" w:rsidRPr="00AD2AB0" w:rsidRDefault="00966826" w:rsidP="00966826">
      <w:pPr>
        <w:autoSpaceDE w:val="0"/>
        <w:autoSpaceDN w:val="0"/>
        <w:adjustRightInd w:val="0"/>
        <w:rPr>
          <w:rFonts w:cs="Arial"/>
          <w:iCs/>
          <w:color w:val="000000"/>
        </w:rPr>
      </w:pPr>
    </w:p>
    <w:p w14:paraId="4DA3F949" w14:textId="77777777" w:rsidR="00966826" w:rsidRPr="00962D73" w:rsidRDefault="00966826" w:rsidP="00966826">
      <w:pPr>
        <w:autoSpaceDE w:val="0"/>
        <w:autoSpaceDN w:val="0"/>
        <w:adjustRightInd w:val="0"/>
        <w:rPr>
          <w:rFonts w:cs="Arial"/>
          <w:color w:val="222222"/>
        </w:rPr>
      </w:pPr>
      <w:r>
        <w:rPr>
          <w:rFonts w:cs="Arial"/>
          <w:color w:val="222222"/>
        </w:rPr>
        <w:t xml:space="preserve">One submitter </w:t>
      </w:r>
      <w:r w:rsidRPr="00962D73">
        <w:rPr>
          <w:rFonts w:cs="Arial"/>
          <w:color w:val="222222"/>
        </w:rPr>
        <w:t>request</w:t>
      </w:r>
      <w:r>
        <w:rPr>
          <w:rFonts w:cs="Arial"/>
          <w:color w:val="222222"/>
        </w:rPr>
        <w:t>ed</w:t>
      </w:r>
      <w:r w:rsidRPr="00962D73">
        <w:rPr>
          <w:rFonts w:cs="Arial"/>
          <w:color w:val="222222"/>
        </w:rPr>
        <w:t xml:space="preserve"> </w:t>
      </w:r>
      <w:r>
        <w:rPr>
          <w:rFonts w:cs="Arial"/>
          <w:color w:val="222222"/>
        </w:rPr>
        <w:t xml:space="preserve">that </w:t>
      </w:r>
      <w:r w:rsidRPr="00962D73">
        <w:rPr>
          <w:rFonts w:cs="Arial"/>
          <w:color w:val="222222"/>
        </w:rPr>
        <w:t xml:space="preserve">the </w:t>
      </w:r>
      <w:r>
        <w:rPr>
          <w:rFonts w:cs="Arial"/>
          <w:color w:val="222222"/>
        </w:rPr>
        <w:t>F</w:t>
      </w:r>
      <w:r w:rsidRPr="00962D73">
        <w:rPr>
          <w:rFonts w:cs="Arial"/>
          <w:color w:val="222222"/>
        </w:rPr>
        <w:t>ramework consider issues of intergenerational equity and inter-patient equity from baseline disease states and co-morbidities</w:t>
      </w:r>
      <w:r>
        <w:rPr>
          <w:rFonts w:cs="Arial"/>
          <w:color w:val="222222"/>
        </w:rPr>
        <w:t>, as key components of equity</w:t>
      </w:r>
      <w:r w:rsidRPr="00962D73">
        <w:rPr>
          <w:rFonts w:cs="Arial"/>
          <w:color w:val="222222"/>
        </w:rPr>
        <w:t xml:space="preserve">. </w:t>
      </w:r>
    </w:p>
    <w:p w14:paraId="269F4475" w14:textId="77777777" w:rsidR="00966826" w:rsidRPr="00962D73" w:rsidRDefault="00966826" w:rsidP="00966826">
      <w:pPr>
        <w:autoSpaceDE w:val="0"/>
        <w:autoSpaceDN w:val="0"/>
        <w:adjustRightInd w:val="0"/>
        <w:rPr>
          <w:rFonts w:cs="Arial"/>
          <w:color w:val="222222"/>
        </w:rPr>
      </w:pPr>
    </w:p>
    <w:p w14:paraId="4711F54D" w14:textId="77777777" w:rsidR="00966826" w:rsidRDefault="00966826" w:rsidP="00966826">
      <w:pPr>
        <w:autoSpaceDE w:val="0"/>
        <w:autoSpaceDN w:val="0"/>
        <w:adjustRightInd w:val="0"/>
      </w:pPr>
      <w:r>
        <w:t xml:space="preserve">One submitter expressed a </w:t>
      </w:r>
      <w:r w:rsidRPr="00962D73">
        <w:t xml:space="preserve">view that the </w:t>
      </w:r>
      <w:r>
        <w:t>F</w:t>
      </w:r>
      <w:r w:rsidRPr="00962D73">
        <w:t xml:space="preserve">ramework as it stands </w:t>
      </w:r>
      <w:r>
        <w:t xml:space="preserve">relied </w:t>
      </w:r>
      <w:r w:rsidRPr="00962D73">
        <w:t>on clinical judgement for decision</w:t>
      </w:r>
      <w:r>
        <w:t>-</w:t>
      </w:r>
      <w:r w:rsidRPr="00962D73">
        <w:t>making</w:t>
      </w:r>
      <w:r>
        <w:t>,</w:t>
      </w:r>
      <w:r w:rsidRPr="00962D73">
        <w:t xml:space="preserve"> and could better acknowledge that clinical judgement decisions are not neutral and are influenced by (often unintentional) perceptions related to </w:t>
      </w:r>
      <w:r>
        <w:t xml:space="preserve">a clinician’s </w:t>
      </w:r>
      <w:r w:rsidRPr="00962D73">
        <w:t>gender,</w:t>
      </w:r>
      <w:r>
        <w:t xml:space="preserve"> age,</w:t>
      </w:r>
      <w:r w:rsidRPr="00962D73">
        <w:t xml:space="preserve"> ethnicity</w:t>
      </w:r>
      <w:r>
        <w:t xml:space="preserve">, race, class and socioeconomic status, </w:t>
      </w:r>
      <w:r w:rsidRPr="007A079C">
        <w:t>while others</w:t>
      </w:r>
      <w:r w:rsidRPr="00147EB1">
        <w:t xml:space="preserve"> </w:t>
      </w:r>
      <w:r w:rsidRPr="00AD2AB0">
        <w:t>expressed the view</w:t>
      </w:r>
      <w:r w:rsidRPr="007A079C">
        <w:t xml:space="preserve"> that </w:t>
      </w:r>
      <w:r w:rsidRPr="00AD2AB0">
        <w:t xml:space="preserve">the </w:t>
      </w:r>
      <w:r>
        <w:t>F</w:t>
      </w:r>
      <w:r w:rsidRPr="00AD2AB0">
        <w:t>ramework appropriately highlights that a narrow</w:t>
      </w:r>
      <w:r w:rsidRPr="007A079C">
        <w:t xml:space="preserve"> focus on survival alone w</w:t>
      </w:r>
      <w:r w:rsidRPr="00147EB1">
        <w:t>ill only increase inequity</w:t>
      </w:r>
      <w:r>
        <w:t>,</w:t>
      </w:r>
      <w:r w:rsidRPr="00147EB1">
        <w:t xml:space="preserve"> as </w:t>
      </w:r>
      <w:r>
        <w:t xml:space="preserve">it means that </w:t>
      </w:r>
      <w:r w:rsidRPr="00147EB1">
        <w:t>disadvantaged groups will b</w:t>
      </w:r>
      <w:r w:rsidRPr="00E64F33">
        <w:t xml:space="preserve">e less likely to be </w:t>
      </w:r>
      <w:r w:rsidRPr="005828A3">
        <w:t>prioritised for intensive care.</w:t>
      </w:r>
      <w:r>
        <w:t xml:space="preserve"> </w:t>
      </w:r>
    </w:p>
    <w:p w14:paraId="69E2A62F" w14:textId="77777777" w:rsidR="00966826" w:rsidRPr="00711895" w:rsidRDefault="00966826" w:rsidP="00966826">
      <w:pPr>
        <w:pStyle w:val="Heading2"/>
      </w:pPr>
      <w:bookmarkStart w:id="41" w:name="_Toc50025116"/>
      <w:bookmarkStart w:id="42" w:name="_Toc50491739"/>
      <w:r>
        <w:t>Treaty principles</w:t>
      </w:r>
      <w:bookmarkEnd w:id="41"/>
      <w:bookmarkEnd w:id="42"/>
    </w:p>
    <w:p w14:paraId="370E41E6" w14:textId="60341ECE" w:rsidR="00966826" w:rsidRDefault="00966826" w:rsidP="00966826">
      <w:pPr>
        <w:pStyle w:val="CommentText"/>
      </w:pPr>
      <w:r>
        <w:t xml:space="preserve">Overall, submitters </w:t>
      </w:r>
      <w:r w:rsidRPr="00377975">
        <w:t xml:space="preserve">reinforced the fundamental importance of </w:t>
      </w:r>
      <w:proofErr w:type="spellStart"/>
      <w:r w:rsidRPr="00377975">
        <w:t>Te</w:t>
      </w:r>
      <w:proofErr w:type="spellEnd"/>
      <w:r w:rsidRPr="00377975">
        <w:t xml:space="preserve"> </w:t>
      </w:r>
      <w:proofErr w:type="spellStart"/>
      <w:r w:rsidRPr="00377975">
        <w:t>Tiriti</w:t>
      </w:r>
      <w:proofErr w:type="spellEnd"/>
      <w:r w:rsidRPr="00377975">
        <w:t xml:space="preserve"> o Waitangi as </w:t>
      </w:r>
      <w:r>
        <w:t xml:space="preserve">an </w:t>
      </w:r>
      <w:r w:rsidRPr="00377975">
        <w:t xml:space="preserve">enabler for Māori health advancement. Emphasis was placed on </w:t>
      </w:r>
      <w:r>
        <w:t xml:space="preserve">the </w:t>
      </w:r>
      <w:r w:rsidRPr="00377975">
        <w:t>Crown</w:t>
      </w:r>
      <w:r>
        <w:t>’s</w:t>
      </w:r>
      <w:r w:rsidRPr="00377975">
        <w:t xml:space="preserve"> obligations under </w:t>
      </w:r>
      <w:proofErr w:type="spellStart"/>
      <w:r w:rsidRPr="00377975">
        <w:t>Te</w:t>
      </w:r>
      <w:proofErr w:type="spellEnd"/>
      <w:r w:rsidRPr="00377975">
        <w:t xml:space="preserve"> </w:t>
      </w:r>
      <w:proofErr w:type="spellStart"/>
      <w:r w:rsidRPr="00377975">
        <w:t>Tiriti</w:t>
      </w:r>
      <w:proofErr w:type="spellEnd"/>
      <w:r w:rsidRPr="00377975">
        <w:t xml:space="preserve"> across the health and disability system. Many people supported the proposed </w:t>
      </w:r>
      <w:proofErr w:type="spellStart"/>
      <w:r w:rsidRPr="00377975">
        <w:t>Tiriti</w:t>
      </w:r>
      <w:proofErr w:type="spellEnd"/>
      <w:r w:rsidRPr="00377975">
        <w:t xml:space="preserve"> framework, </w:t>
      </w:r>
      <w:r>
        <w:t xml:space="preserve">but some suggested that </w:t>
      </w:r>
      <w:r w:rsidRPr="00377975">
        <w:t xml:space="preserve">it </w:t>
      </w:r>
      <w:r>
        <w:t>could</w:t>
      </w:r>
      <w:r w:rsidRPr="00377975">
        <w:t xml:space="preserve"> be better integrated within the document.</w:t>
      </w:r>
    </w:p>
    <w:p w14:paraId="4A8EAD96" w14:textId="77777777" w:rsidR="00966826" w:rsidRPr="00377975" w:rsidRDefault="00966826" w:rsidP="00966826">
      <w:pPr>
        <w:pStyle w:val="CommentText"/>
      </w:pPr>
    </w:p>
    <w:p w14:paraId="3902F2D1" w14:textId="77777777" w:rsidR="00966826" w:rsidRPr="00377975" w:rsidRDefault="00966826" w:rsidP="00966826">
      <w:pPr>
        <w:pStyle w:val="CommentText"/>
      </w:pPr>
      <w:r>
        <w:t xml:space="preserve">While submitters </w:t>
      </w:r>
      <w:r w:rsidRPr="00377975">
        <w:t xml:space="preserve">agreed that </w:t>
      </w:r>
      <w:proofErr w:type="spellStart"/>
      <w:r w:rsidRPr="00377975">
        <w:t>Te</w:t>
      </w:r>
      <w:proofErr w:type="spellEnd"/>
      <w:r w:rsidRPr="00377975">
        <w:t xml:space="preserve"> </w:t>
      </w:r>
      <w:proofErr w:type="spellStart"/>
      <w:r w:rsidRPr="00377975">
        <w:t>Tiriti</w:t>
      </w:r>
      <w:proofErr w:type="spellEnd"/>
      <w:r w:rsidRPr="00377975">
        <w:t xml:space="preserve"> principles and allocation to resource allocation decisions </w:t>
      </w:r>
      <w:r>
        <w:t xml:space="preserve">were </w:t>
      </w:r>
      <w:r w:rsidRPr="00377975">
        <w:t>appropriate and useful</w:t>
      </w:r>
      <w:r>
        <w:t>,</w:t>
      </w:r>
      <w:r w:rsidRPr="00377975">
        <w:t xml:space="preserve"> </w:t>
      </w:r>
      <w:r>
        <w:t xml:space="preserve">one submitter </w:t>
      </w:r>
      <w:r w:rsidRPr="00377975">
        <w:t>ask</w:t>
      </w:r>
      <w:r>
        <w:t>ed</w:t>
      </w:r>
      <w:r w:rsidRPr="00377975">
        <w:t xml:space="preserve"> NEAC to </w:t>
      </w:r>
      <w:r>
        <w:t>ensure that the Framework:</w:t>
      </w:r>
    </w:p>
    <w:p w14:paraId="412A02BC" w14:textId="77777777" w:rsidR="00966826" w:rsidRDefault="00966826" w:rsidP="00966826">
      <w:pPr>
        <w:pStyle w:val="Bullet"/>
      </w:pPr>
      <w:r>
        <w:t>clearly explains how it has been constructed in Treaty partnership</w:t>
      </w:r>
    </w:p>
    <w:p w14:paraId="03B7B2BA" w14:textId="77777777" w:rsidR="00966826" w:rsidRDefault="00966826" w:rsidP="00966826">
      <w:pPr>
        <w:pStyle w:val="Bullet"/>
      </w:pPr>
      <w:r>
        <w:t xml:space="preserve">acknowledges, accepts and uses tikanga and </w:t>
      </w:r>
      <w:proofErr w:type="spellStart"/>
      <w:r>
        <w:t>te</w:t>
      </w:r>
      <w:proofErr w:type="spellEnd"/>
      <w:r>
        <w:t xml:space="preserve"> </w:t>
      </w:r>
      <w:proofErr w:type="spellStart"/>
      <w:r>
        <w:t>ao</w:t>
      </w:r>
      <w:proofErr w:type="spellEnd"/>
      <w:r>
        <w:t xml:space="preserve"> </w:t>
      </w:r>
      <w:r w:rsidRPr="009939A3">
        <w:rPr>
          <w:rFonts w:cs="Arial"/>
          <w:color w:val="222222"/>
        </w:rPr>
        <w:t>Māori</w:t>
      </w:r>
      <w:r>
        <w:t xml:space="preserve"> values and principles at the beginning, of the Framework to give weight to the same degree and extent other values expressed</w:t>
      </w:r>
    </w:p>
    <w:p w14:paraId="39504789" w14:textId="77777777" w:rsidR="00966826" w:rsidRPr="00AD2AB0" w:rsidRDefault="00966826" w:rsidP="00966826">
      <w:pPr>
        <w:pStyle w:val="Bullet"/>
      </w:pPr>
      <w:r>
        <w:t xml:space="preserve">indicate how a focus on health equity could explicitly protect </w:t>
      </w:r>
      <w:r w:rsidRPr="002D5ECE">
        <w:rPr>
          <w:rFonts w:cs="Arial"/>
          <w:color w:val="222222"/>
        </w:rPr>
        <w:t>Māori</w:t>
      </w:r>
      <w:r>
        <w:t xml:space="preserve"> and other communities during pandemics (not just during COVID-19).</w:t>
      </w:r>
    </w:p>
    <w:p w14:paraId="27C42BF3" w14:textId="77777777" w:rsidR="00966826" w:rsidRDefault="00966826" w:rsidP="00966826"/>
    <w:p w14:paraId="57D534ED" w14:textId="2BD6D555" w:rsidR="00966826" w:rsidRDefault="00966826" w:rsidP="00966826">
      <w:pPr>
        <w:rPr>
          <w:rFonts w:cs="Arial"/>
          <w:iCs/>
        </w:rPr>
      </w:pPr>
      <w:r w:rsidRPr="00377975">
        <w:t xml:space="preserve">Some submitters were of the view that </w:t>
      </w:r>
      <w:r>
        <w:t xml:space="preserve">a reference to </w:t>
      </w:r>
      <w:r w:rsidRPr="00377975">
        <w:t xml:space="preserve">the Waitangi Tribunal’s </w:t>
      </w:r>
      <w:r w:rsidRPr="00981450">
        <w:rPr>
          <w:i/>
          <w:iCs/>
        </w:rPr>
        <w:t>Hauora</w:t>
      </w:r>
      <w:r w:rsidRPr="00377975">
        <w:t xml:space="preserve"> Wai 2575 report findings could strengthen the </w:t>
      </w:r>
      <w:r>
        <w:t xml:space="preserve">Framework, </w:t>
      </w:r>
      <w:r w:rsidRPr="00377975">
        <w:t xml:space="preserve">as </w:t>
      </w:r>
      <w:r>
        <w:t xml:space="preserve">that report provides </w:t>
      </w:r>
      <w:r w:rsidRPr="00377975">
        <w:t xml:space="preserve">a </w:t>
      </w:r>
      <w:r>
        <w:t xml:space="preserve">description </w:t>
      </w:r>
      <w:r w:rsidRPr="00377975">
        <w:t xml:space="preserve">of systemic inequities and their impact on </w:t>
      </w:r>
      <w:r w:rsidRPr="00377975">
        <w:rPr>
          <w:rFonts w:cs="Arial"/>
          <w:iCs/>
        </w:rPr>
        <w:t xml:space="preserve">Māori. </w:t>
      </w:r>
    </w:p>
    <w:p w14:paraId="6BC2DF5D" w14:textId="77777777" w:rsidR="00966826" w:rsidRPr="00377975" w:rsidRDefault="00966826" w:rsidP="00966826">
      <w:pPr>
        <w:rPr>
          <w:rFonts w:cs="Arial"/>
          <w:iCs/>
        </w:rPr>
      </w:pPr>
    </w:p>
    <w:p w14:paraId="295C3FFE" w14:textId="2DFFE98C" w:rsidR="00966826" w:rsidRDefault="00966826" w:rsidP="00966826">
      <w:r>
        <w:rPr>
          <w:rFonts w:cs="Arial"/>
          <w:iCs/>
        </w:rPr>
        <w:t xml:space="preserve">Submitters expressed a wish for </w:t>
      </w:r>
      <w:r w:rsidRPr="00377975">
        <w:t xml:space="preserve">more explicit guidance on how </w:t>
      </w:r>
      <w:r>
        <w:t xml:space="preserve">decision-makers </w:t>
      </w:r>
      <w:r w:rsidRPr="00377975">
        <w:t>could prioritise active protection for M</w:t>
      </w:r>
      <w:r w:rsidRPr="005A3F2A">
        <w:t>ā</w:t>
      </w:r>
      <w:r w:rsidRPr="00377975">
        <w:t xml:space="preserve">ori, keeping in mind </w:t>
      </w:r>
      <w:r>
        <w:t xml:space="preserve">relevant </w:t>
      </w:r>
      <w:proofErr w:type="spellStart"/>
      <w:r>
        <w:t>Te</w:t>
      </w:r>
      <w:proofErr w:type="spellEnd"/>
      <w:r>
        <w:t xml:space="preserve"> </w:t>
      </w:r>
      <w:proofErr w:type="spellStart"/>
      <w:r w:rsidRPr="00377975">
        <w:t>Tiriti</w:t>
      </w:r>
      <w:proofErr w:type="spellEnd"/>
      <w:r w:rsidRPr="00377975">
        <w:t xml:space="preserve"> obligations, as a way of ensuring that resource allocation decisions do not perpetuate or exacerbate inequities. </w:t>
      </w:r>
    </w:p>
    <w:p w14:paraId="4DAF75F4" w14:textId="77777777" w:rsidR="00966826" w:rsidRPr="00377975" w:rsidRDefault="00966826" w:rsidP="00966826"/>
    <w:p w14:paraId="530FA939" w14:textId="7F4FC9F4" w:rsidR="00966826" w:rsidRDefault="00966826" w:rsidP="00966826">
      <w:pPr>
        <w:pStyle w:val="CommentText"/>
      </w:pPr>
      <w:r w:rsidRPr="00377975">
        <w:t xml:space="preserve">Others noted opportunities </w:t>
      </w:r>
      <w:r>
        <w:t xml:space="preserve">for </w:t>
      </w:r>
      <w:r w:rsidRPr="00377975">
        <w:t xml:space="preserve">the </w:t>
      </w:r>
      <w:r>
        <w:t>F</w:t>
      </w:r>
      <w:r w:rsidRPr="00377975">
        <w:t xml:space="preserve">ramework to explicitly link Treaty </w:t>
      </w:r>
      <w:r>
        <w:t>a</w:t>
      </w:r>
      <w:r w:rsidRPr="00377975">
        <w:t>rticles with key principles</w:t>
      </w:r>
      <w:r>
        <w:t>,</w:t>
      </w:r>
      <w:r w:rsidRPr="00377975">
        <w:t xml:space="preserve"> to connect key considerations for decision makers. For example, Article 3 </w:t>
      </w:r>
      <w:r>
        <w:t>–</w:t>
      </w:r>
      <w:r w:rsidRPr="00377975">
        <w:t xml:space="preserve"> </w:t>
      </w:r>
      <w:proofErr w:type="spellStart"/>
      <w:r w:rsidRPr="00377975">
        <w:rPr>
          <w:rFonts w:cs="Arial"/>
        </w:rPr>
        <w:t>Oritetanga</w:t>
      </w:r>
      <w:proofErr w:type="spellEnd"/>
      <w:r w:rsidRPr="00377975">
        <w:t xml:space="preserve"> of </w:t>
      </w:r>
      <w:proofErr w:type="spellStart"/>
      <w:r w:rsidRPr="00377975">
        <w:t>Te</w:t>
      </w:r>
      <w:proofErr w:type="spellEnd"/>
      <w:r w:rsidRPr="00377975">
        <w:t xml:space="preserve"> </w:t>
      </w:r>
      <w:proofErr w:type="spellStart"/>
      <w:r w:rsidRPr="00377975">
        <w:t>Tiriti</w:t>
      </w:r>
      <w:proofErr w:type="spellEnd"/>
      <w:r w:rsidRPr="00377975">
        <w:t xml:space="preserve"> could be linked with </w:t>
      </w:r>
      <w:r>
        <w:t xml:space="preserve">the Framework’s focus </w:t>
      </w:r>
      <w:r w:rsidRPr="00377975">
        <w:t xml:space="preserve">equity. </w:t>
      </w:r>
      <w:r>
        <w:t>Similarly, o</w:t>
      </w:r>
      <w:r w:rsidRPr="00377975">
        <w:t xml:space="preserve">ne response reminded NEAC that </w:t>
      </w:r>
      <w:proofErr w:type="spellStart"/>
      <w:r w:rsidRPr="00377975">
        <w:t>Te</w:t>
      </w:r>
      <w:proofErr w:type="spellEnd"/>
      <w:r w:rsidRPr="00377975">
        <w:t xml:space="preserve"> </w:t>
      </w:r>
      <w:proofErr w:type="spellStart"/>
      <w:r w:rsidRPr="00377975">
        <w:t>Tiriti</w:t>
      </w:r>
      <w:proofErr w:type="spellEnd"/>
      <w:r w:rsidRPr="00377975">
        <w:t xml:space="preserve"> and </w:t>
      </w:r>
      <w:r>
        <w:t>h</w:t>
      </w:r>
      <w:r w:rsidRPr="00377975">
        <w:t xml:space="preserve">uman </w:t>
      </w:r>
      <w:r>
        <w:t>r</w:t>
      </w:r>
      <w:r w:rsidRPr="00377975">
        <w:t xml:space="preserve">ights commitments are </w:t>
      </w:r>
      <w:r>
        <w:t xml:space="preserve">complementary, </w:t>
      </w:r>
      <w:r w:rsidRPr="00377975">
        <w:t xml:space="preserve">and </w:t>
      </w:r>
      <w:r>
        <w:t>said that the F</w:t>
      </w:r>
      <w:r w:rsidRPr="00377975">
        <w:t xml:space="preserve">ramework </w:t>
      </w:r>
      <w:r>
        <w:t xml:space="preserve">must acknowledge this, to provide </w:t>
      </w:r>
      <w:r w:rsidRPr="00377975">
        <w:t xml:space="preserve">an effective response to COVID-19 and to keep trust and </w:t>
      </w:r>
      <w:r>
        <w:t>confidence alive within Crown–M</w:t>
      </w:r>
      <w:r w:rsidRPr="005A3F2A">
        <w:t>ā</w:t>
      </w:r>
      <w:r>
        <w:t xml:space="preserve">ori relationships. </w:t>
      </w:r>
    </w:p>
    <w:p w14:paraId="33039E63" w14:textId="77777777" w:rsidR="00966826" w:rsidRPr="00F73C1D" w:rsidRDefault="00966826" w:rsidP="00966826">
      <w:pPr>
        <w:pStyle w:val="CommentText"/>
      </w:pPr>
    </w:p>
    <w:p w14:paraId="1ADBC128" w14:textId="5F4CE02A" w:rsidR="00966826" w:rsidRDefault="00966826" w:rsidP="00966826">
      <w:pPr>
        <w:rPr>
          <w:rFonts w:eastAsiaTheme="minorEastAsia" w:cstheme="minorHAnsi"/>
        </w:rPr>
      </w:pPr>
      <w:r>
        <w:t xml:space="preserve">Some submitters </w:t>
      </w:r>
      <w:r w:rsidRPr="00377975">
        <w:t>were of the view</w:t>
      </w:r>
      <w:r w:rsidRPr="00377975">
        <w:rPr>
          <w:rFonts w:eastAsiaTheme="minorEastAsia" w:cstheme="minorHAnsi"/>
        </w:rPr>
        <w:t xml:space="preserve"> that the </w:t>
      </w:r>
      <w:r>
        <w:rPr>
          <w:rFonts w:eastAsiaTheme="minorEastAsia" w:cstheme="minorHAnsi"/>
        </w:rPr>
        <w:t>F</w:t>
      </w:r>
      <w:r w:rsidRPr="00377975">
        <w:rPr>
          <w:rFonts w:eastAsiaTheme="minorEastAsia" w:cstheme="minorHAnsi"/>
        </w:rPr>
        <w:t xml:space="preserve">ramework would benefit from an expanded consideration of relevant human rights standards, and greater clarity </w:t>
      </w:r>
      <w:r>
        <w:rPr>
          <w:rFonts w:eastAsiaTheme="minorEastAsia" w:cstheme="minorHAnsi"/>
        </w:rPr>
        <w:t xml:space="preserve">on </w:t>
      </w:r>
      <w:r w:rsidRPr="00377975">
        <w:rPr>
          <w:rFonts w:eastAsiaTheme="minorEastAsia" w:cstheme="minorHAnsi"/>
        </w:rPr>
        <w:t xml:space="preserve">the legally binding international and domestic human rights obligations </w:t>
      </w:r>
      <w:r>
        <w:rPr>
          <w:rFonts w:eastAsiaTheme="minorEastAsia" w:cstheme="minorHAnsi"/>
        </w:rPr>
        <w:t xml:space="preserve">that bind decision-makers </w:t>
      </w:r>
      <w:r w:rsidRPr="00377975">
        <w:rPr>
          <w:rFonts w:eastAsiaTheme="minorEastAsia" w:cstheme="minorHAnsi"/>
        </w:rPr>
        <w:t>at any time, including during times of emergency.</w:t>
      </w:r>
    </w:p>
    <w:p w14:paraId="234092E3" w14:textId="77777777" w:rsidR="00966826" w:rsidRPr="00377975" w:rsidRDefault="00966826" w:rsidP="00966826">
      <w:pPr>
        <w:rPr>
          <w:rFonts w:eastAsiaTheme="minorEastAsia" w:cstheme="minorHAnsi"/>
        </w:rPr>
      </w:pPr>
    </w:p>
    <w:p w14:paraId="7B8DE003" w14:textId="77777777" w:rsidR="00966826" w:rsidRPr="00BE6A86" w:rsidRDefault="00966826" w:rsidP="00966826">
      <w:r>
        <w:t xml:space="preserve">Some submitters noted that they would welcome a specific reference to the </w:t>
      </w:r>
      <w:r w:rsidRPr="005F6A2F">
        <w:t>United Nations Declaration on the Rights of Indigenous Peoples</w:t>
      </w:r>
      <w:r>
        <w:t xml:space="preserve"> as a way of reinforcing many relevant rights, including the rights to self-determination, to participation in decision-making and to the highest attainable standard of health.</w:t>
      </w:r>
    </w:p>
    <w:p w14:paraId="0CD7D40B" w14:textId="77777777" w:rsidR="00966826" w:rsidRDefault="00966826" w:rsidP="00966826">
      <w:pPr>
        <w:pStyle w:val="Heading2"/>
      </w:pPr>
      <w:bookmarkStart w:id="43" w:name="_Toc50025117"/>
      <w:bookmarkStart w:id="44" w:name="_Toc50491740"/>
      <w:r>
        <w:t>Intensive care units</w:t>
      </w:r>
      <w:bookmarkEnd w:id="43"/>
      <w:bookmarkEnd w:id="44"/>
    </w:p>
    <w:p w14:paraId="4EEE74B3" w14:textId="77777777" w:rsidR="00966826" w:rsidRPr="008565C1" w:rsidRDefault="00966826" w:rsidP="00966826">
      <w:pPr>
        <w:autoSpaceDE w:val="0"/>
        <w:autoSpaceDN w:val="0"/>
        <w:adjustRightInd w:val="0"/>
        <w:rPr>
          <w:rFonts w:cs="Arial"/>
        </w:rPr>
      </w:pPr>
    </w:p>
    <w:p w14:paraId="2CFFD48A" w14:textId="2CE00279" w:rsidR="00966826" w:rsidRDefault="00966826" w:rsidP="00966826">
      <w:r>
        <w:t xml:space="preserve">Overall, submitters were highly engaged on the topic of resource allocation in the context of the ICU; there were many helpful suggestions to improve and clarify this section of the Framework. At the heart of the feedback in this context was the need for clearer guidance about what equity means in the ICU context, and how to achieve it. </w:t>
      </w:r>
    </w:p>
    <w:p w14:paraId="28CBB2E0" w14:textId="77777777" w:rsidR="00966826" w:rsidRDefault="00966826" w:rsidP="00966826">
      <w:pPr>
        <w:rPr>
          <w:b/>
        </w:rPr>
      </w:pPr>
    </w:p>
    <w:p w14:paraId="6D897FFB" w14:textId="77777777" w:rsidR="00966826" w:rsidRDefault="00966826" w:rsidP="00966826">
      <w:pPr>
        <w:rPr>
          <w:rFonts w:cs="Arial"/>
        </w:rPr>
      </w:pPr>
      <w:r>
        <w:rPr>
          <w:rFonts w:cs="Arial"/>
        </w:rPr>
        <w:t>Again, in this section, a</w:t>
      </w:r>
      <w:r w:rsidRPr="009269A8">
        <w:rPr>
          <w:rFonts w:cs="Arial"/>
        </w:rPr>
        <w:t xml:space="preserve"> number of</w:t>
      </w:r>
      <w:r>
        <w:rPr>
          <w:rFonts w:cs="Arial"/>
          <w:b/>
        </w:rPr>
        <w:t xml:space="preserve"> </w:t>
      </w:r>
      <w:r>
        <w:rPr>
          <w:rFonts w:cs="Arial"/>
        </w:rPr>
        <w:t>submitters asked for the Framework to include a discussion about the ethics of various triage decision-making tools and approaches.</w:t>
      </w:r>
    </w:p>
    <w:p w14:paraId="4EFFB5D2" w14:textId="299A09D4" w:rsidR="00966826" w:rsidRDefault="00966826" w:rsidP="00966826">
      <w:r>
        <w:t xml:space="preserve">Some submitters felt strongly that the Framework made a strident commitment to equity and </w:t>
      </w:r>
      <w:proofErr w:type="spellStart"/>
      <w:r w:rsidRPr="008565C1">
        <w:t>Te</w:t>
      </w:r>
      <w:proofErr w:type="spellEnd"/>
      <w:r w:rsidRPr="008565C1">
        <w:t xml:space="preserve"> </w:t>
      </w:r>
      <w:proofErr w:type="spellStart"/>
      <w:r w:rsidRPr="008565C1">
        <w:t>Tiriti</w:t>
      </w:r>
      <w:proofErr w:type="spellEnd"/>
      <w:r>
        <w:t xml:space="preserve"> </w:t>
      </w:r>
      <w:proofErr w:type="gramStart"/>
      <w:r>
        <w:t>principles, but</w:t>
      </w:r>
      <w:proofErr w:type="gramEnd"/>
      <w:r>
        <w:t xml:space="preserve"> did not follow through by providing the right guidance to pursue those principles in practice in the clinical setting.</w:t>
      </w:r>
    </w:p>
    <w:p w14:paraId="1577C450" w14:textId="77777777" w:rsidR="00966826" w:rsidRPr="009269A8" w:rsidRDefault="00966826" w:rsidP="00966826"/>
    <w:p w14:paraId="42EF1A06" w14:textId="77777777" w:rsidR="00966826" w:rsidRDefault="00966826" w:rsidP="00966826">
      <w:pPr>
        <w:rPr>
          <w:b/>
        </w:rPr>
      </w:pPr>
      <w:r>
        <w:t>Specifically, NEAC heard that there needs to be clearer guidance about:</w:t>
      </w:r>
    </w:p>
    <w:p w14:paraId="69C61EC3" w14:textId="77777777" w:rsidR="00966826" w:rsidRDefault="00966826" w:rsidP="00966826">
      <w:pPr>
        <w:pStyle w:val="Bullet"/>
        <w:rPr>
          <w:b/>
        </w:rPr>
      </w:pPr>
      <w:r w:rsidRPr="003D5449">
        <w:t xml:space="preserve">what is meant by equity </w:t>
      </w:r>
      <w:r>
        <w:t xml:space="preserve">in the context of </w:t>
      </w:r>
      <w:r w:rsidRPr="003D5449">
        <w:t>ICU triage</w:t>
      </w:r>
      <w:r>
        <w:t xml:space="preserve"> (that is, whether equity is defined in terms of access, process or outcome)</w:t>
      </w:r>
    </w:p>
    <w:p w14:paraId="7096FCB9" w14:textId="77777777" w:rsidR="00966826" w:rsidRDefault="00966826" w:rsidP="00966826">
      <w:pPr>
        <w:pStyle w:val="Bullet"/>
        <w:rPr>
          <w:b/>
        </w:rPr>
      </w:pPr>
      <w:r>
        <w:t>whether equity needs to be weighted for in prioritisation. Submitters felt that prioritising equity decisions in the context of resources such as PPE and vaccines was relatively simpler and ethically justifiable, but that the same reasoning was difficult to superimpose upon the ICU context</w:t>
      </w:r>
    </w:p>
    <w:p w14:paraId="6B6A35E6" w14:textId="77777777" w:rsidR="00966826" w:rsidRDefault="00966826" w:rsidP="00966826">
      <w:pPr>
        <w:pStyle w:val="Bullet"/>
        <w:rPr>
          <w:b/>
        </w:rPr>
      </w:pPr>
      <w:r>
        <w:lastRenderedPageBreak/>
        <w:t>the ethics and process of reverse triage.</w:t>
      </w:r>
    </w:p>
    <w:p w14:paraId="21C7FEDB" w14:textId="77777777" w:rsidR="00966826" w:rsidRDefault="00966826" w:rsidP="00966826"/>
    <w:p w14:paraId="64A29996" w14:textId="1088E184" w:rsidR="00966826" w:rsidRDefault="00966826" w:rsidP="00966826">
      <w:r>
        <w:t xml:space="preserve">Submitters proposed nationally mandated and </w:t>
      </w:r>
      <w:r w:rsidRPr="008565C1">
        <w:t xml:space="preserve">explicit triage plans for ICU bed allocation that are agreed beforehand by </w:t>
      </w:r>
      <w:r>
        <w:t xml:space="preserve">a </w:t>
      </w:r>
      <w:r w:rsidRPr="008565C1">
        <w:t>decision-making group to prevent inequity</w:t>
      </w:r>
      <w:r>
        <w:t xml:space="preserve"> and monitored to ensure they are applied consistently across New Zealand.</w:t>
      </w:r>
    </w:p>
    <w:p w14:paraId="6E404324" w14:textId="77777777" w:rsidR="00966826" w:rsidRPr="009269A8" w:rsidRDefault="00966826" w:rsidP="00966826">
      <w:pPr>
        <w:rPr>
          <w:b/>
        </w:rPr>
      </w:pPr>
    </w:p>
    <w:p w14:paraId="6C53A48C" w14:textId="325CB324" w:rsidR="00966826" w:rsidRPr="00966826" w:rsidRDefault="00966826" w:rsidP="00966826">
      <w:pPr>
        <w:rPr>
          <w:color w:val="000000"/>
        </w:rPr>
      </w:pPr>
      <w:r>
        <w:rPr>
          <w:color w:val="000000"/>
        </w:rPr>
        <w:t xml:space="preserve">Some feedback noted that </w:t>
      </w:r>
      <w:r w:rsidRPr="00CE12DC">
        <w:rPr>
          <w:color w:val="000000"/>
        </w:rPr>
        <w:t>NEAC</w:t>
      </w:r>
      <w:r>
        <w:rPr>
          <w:color w:val="000000"/>
        </w:rPr>
        <w:t>’s</w:t>
      </w:r>
      <w:r w:rsidRPr="00CE12DC">
        <w:rPr>
          <w:color w:val="000000"/>
        </w:rPr>
        <w:t xml:space="preserve"> 2007 </w:t>
      </w:r>
      <w:r w:rsidRPr="00766571">
        <w:rPr>
          <w:i/>
          <w:iCs/>
          <w:color w:val="000000"/>
        </w:rPr>
        <w:t>Getting Through Together</w:t>
      </w:r>
      <w:r>
        <w:rPr>
          <w:color w:val="000000"/>
        </w:rPr>
        <w:t xml:space="preserve"> provided s</w:t>
      </w:r>
      <w:r w:rsidRPr="00CE12DC">
        <w:rPr>
          <w:color w:val="000000"/>
        </w:rPr>
        <w:t xml:space="preserve">ome useful questions </w:t>
      </w:r>
      <w:r>
        <w:rPr>
          <w:color w:val="000000"/>
        </w:rPr>
        <w:t xml:space="preserve">that </w:t>
      </w:r>
      <w:r w:rsidRPr="00CE12DC">
        <w:rPr>
          <w:color w:val="000000"/>
        </w:rPr>
        <w:t>could be reviewed and expanded on and aligned to the Framework.</w:t>
      </w:r>
    </w:p>
    <w:p w14:paraId="5FDC7CED" w14:textId="77777777" w:rsidR="00966826" w:rsidRDefault="00966826" w:rsidP="00966826">
      <w:pPr>
        <w:pStyle w:val="Heading2"/>
      </w:pPr>
      <w:bookmarkStart w:id="45" w:name="_Toc50025118"/>
      <w:bookmarkStart w:id="46" w:name="_Toc50491741"/>
      <w:bookmarkStart w:id="47" w:name="_Hlk49939926"/>
      <w:r>
        <w:t>Personal protective equipment</w:t>
      </w:r>
      <w:bookmarkEnd w:id="45"/>
      <w:bookmarkEnd w:id="46"/>
    </w:p>
    <w:bookmarkEnd w:id="47"/>
    <w:p w14:paraId="28B189DC" w14:textId="77777777" w:rsidR="00966826" w:rsidRPr="008565C1" w:rsidRDefault="00966826" w:rsidP="00966826">
      <w:pPr>
        <w:autoSpaceDE w:val="0"/>
        <w:autoSpaceDN w:val="0"/>
        <w:adjustRightInd w:val="0"/>
        <w:rPr>
          <w:rFonts w:cs="Arial"/>
        </w:rPr>
      </w:pPr>
    </w:p>
    <w:p w14:paraId="3E0276C4" w14:textId="295137AF" w:rsidR="00966826" w:rsidRDefault="00966826" w:rsidP="00966826">
      <w:pPr>
        <w:rPr>
          <w:rFonts w:cs="Arial"/>
        </w:rPr>
      </w:pPr>
      <w:r>
        <w:rPr>
          <w:rFonts w:cs="Arial"/>
        </w:rPr>
        <w:t>Overall, submitters were supportive of the Framework’s guidance on p</w:t>
      </w:r>
      <w:r w:rsidRPr="00766571">
        <w:rPr>
          <w:rFonts w:cs="Arial"/>
        </w:rPr>
        <w:t>ersonal protective equipment</w:t>
      </w:r>
      <w:r>
        <w:rPr>
          <w:rFonts w:cs="Arial"/>
        </w:rPr>
        <w:t xml:space="preserve"> (PPE), but thought it could be strengthened by </w:t>
      </w:r>
      <w:r w:rsidRPr="00766571">
        <w:rPr>
          <w:rFonts w:cs="Arial"/>
        </w:rPr>
        <w:t>an instruction to decision-makers to prioritise</w:t>
      </w:r>
      <w:r>
        <w:rPr>
          <w:rFonts w:cs="Arial"/>
        </w:rPr>
        <w:t xml:space="preserve"> PPE for health and community workers so that they do not inadvertently infect individuals they are caring for. </w:t>
      </w:r>
    </w:p>
    <w:p w14:paraId="2BD1F29E" w14:textId="77777777" w:rsidR="00966826" w:rsidRDefault="00966826" w:rsidP="00966826">
      <w:pPr>
        <w:rPr>
          <w:rFonts w:cs="Arial"/>
        </w:rPr>
      </w:pPr>
    </w:p>
    <w:p w14:paraId="7F931FBB" w14:textId="30555A29" w:rsidR="00966826" w:rsidRDefault="00966826" w:rsidP="00966826">
      <w:pPr>
        <w:rPr>
          <w:rFonts w:cs="Arial"/>
        </w:rPr>
      </w:pPr>
      <w:r>
        <w:rPr>
          <w:rFonts w:cs="Arial"/>
        </w:rPr>
        <w:t xml:space="preserve">Submitters were generally in favour of </w:t>
      </w:r>
      <w:r w:rsidRPr="008144E2">
        <w:rPr>
          <w:rFonts w:cs="Arial"/>
        </w:rPr>
        <w:t xml:space="preserve">a greater ratio of </w:t>
      </w:r>
      <w:r>
        <w:rPr>
          <w:rFonts w:cs="Arial"/>
        </w:rPr>
        <w:t xml:space="preserve">resource </w:t>
      </w:r>
      <w:r w:rsidRPr="008144E2">
        <w:rPr>
          <w:rFonts w:cs="Arial"/>
        </w:rPr>
        <w:t xml:space="preserve">allocation </w:t>
      </w:r>
      <w:r>
        <w:rPr>
          <w:rFonts w:cs="Arial"/>
        </w:rPr>
        <w:t xml:space="preserve">for </w:t>
      </w:r>
      <w:r w:rsidRPr="008144E2">
        <w:rPr>
          <w:rFonts w:cs="Arial"/>
        </w:rPr>
        <w:t xml:space="preserve">certain groups, such as those with </w:t>
      </w:r>
      <w:r>
        <w:rPr>
          <w:rFonts w:cs="Arial"/>
        </w:rPr>
        <w:t xml:space="preserve">specific </w:t>
      </w:r>
      <w:r w:rsidRPr="008144E2">
        <w:rPr>
          <w:rFonts w:cs="Arial"/>
        </w:rPr>
        <w:t xml:space="preserve">health needs, abilities </w:t>
      </w:r>
      <w:r>
        <w:rPr>
          <w:rFonts w:cs="Arial"/>
        </w:rPr>
        <w:t xml:space="preserve">or </w:t>
      </w:r>
      <w:r w:rsidRPr="008144E2">
        <w:rPr>
          <w:rFonts w:cs="Arial"/>
        </w:rPr>
        <w:t>ages that ma</w:t>
      </w:r>
      <w:r>
        <w:rPr>
          <w:rFonts w:cs="Arial"/>
        </w:rPr>
        <w:t>de</w:t>
      </w:r>
      <w:r w:rsidRPr="008144E2">
        <w:rPr>
          <w:rFonts w:cs="Arial"/>
        </w:rPr>
        <w:t xml:space="preserve"> them more vulnerable to illness.</w:t>
      </w:r>
    </w:p>
    <w:p w14:paraId="5570AAAA" w14:textId="77777777" w:rsidR="00966826" w:rsidRDefault="00966826" w:rsidP="00966826">
      <w:pPr>
        <w:rPr>
          <w:rFonts w:cs="Arial"/>
        </w:rPr>
      </w:pPr>
    </w:p>
    <w:p w14:paraId="4A3543AA" w14:textId="77777777" w:rsidR="00966826" w:rsidRPr="008565C1" w:rsidRDefault="00966826" w:rsidP="00966826">
      <w:pPr>
        <w:rPr>
          <w:rFonts w:cs="Arial"/>
        </w:rPr>
      </w:pPr>
      <w:r>
        <w:rPr>
          <w:rFonts w:cs="Arial"/>
        </w:rPr>
        <w:t xml:space="preserve">Submitters sought guidance </w:t>
      </w:r>
      <w:r w:rsidRPr="008565C1">
        <w:rPr>
          <w:rFonts w:cs="Arial"/>
        </w:rPr>
        <w:t xml:space="preserve">for primary, community and aged residential care sectors </w:t>
      </w:r>
      <w:r>
        <w:rPr>
          <w:rFonts w:cs="Arial"/>
        </w:rPr>
        <w:t xml:space="preserve">to assist them in making decisions about how to use the Framework to prioritise PPE. </w:t>
      </w:r>
    </w:p>
    <w:p w14:paraId="7871BEF9" w14:textId="77777777" w:rsidR="00966826" w:rsidRDefault="00966826" w:rsidP="00966826">
      <w:pPr>
        <w:pStyle w:val="Heading2"/>
      </w:pPr>
      <w:bookmarkStart w:id="48" w:name="_Toc50025119"/>
      <w:bookmarkStart w:id="49" w:name="_Toc50491742"/>
      <w:r>
        <w:t>Vaccines</w:t>
      </w:r>
      <w:bookmarkEnd w:id="48"/>
      <w:bookmarkEnd w:id="49"/>
    </w:p>
    <w:p w14:paraId="3EB85E14" w14:textId="77777777" w:rsidR="00966826" w:rsidRPr="00966826" w:rsidRDefault="00966826" w:rsidP="00966826">
      <w:r w:rsidRPr="00966826">
        <w:t xml:space="preserve">NEAC noted that one option for allocation of vaccines that is already widely used in New Zealand is prioritising according to region (for example, in the event of prolonged but localised COVID-19 regional outbreaks) or setting. This approach is consistent with the </w:t>
      </w:r>
      <w:hyperlink r:id="rId30" w:history="1">
        <w:r w:rsidRPr="00966826">
          <w:t>World Health Organization view</w:t>
        </w:r>
      </w:hyperlink>
      <w:r w:rsidRPr="00966826">
        <w:t xml:space="preserve"> on how a COVID-19 vaccine should be allocated: for health care system workers first, then adults over 65 years old, followed by adults with high-risk comorbidities.</w:t>
      </w:r>
    </w:p>
    <w:p w14:paraId="41FDF66A" w14:textId="5E501871" w:rsidR="00966826" w:rsidRDefault="00966826" w:rsidP="00966826">
      <w:pPr>
        <w:rPr>
          <w:rFonts w:cs="Arial"/>
        </w:rPr>
      </w:pPr>
      <w:r>
        <w:rPr>
          <w:rFonts w:cs="Arial"/>
        </w:rPr>
        <w:t>A</w:t>
      </w:r>
      <w:r w:rsidRPr="00377975">
        <w:rPr>
          <w:rFonts w:cs="Arial"/>
        </w:rPr>
        <w:t xml:space="preserve"> number of submissions noted that </w:t>
      </w:r>
      <w:r>
        <w:rPr>
          <w:rFonts w:cs="Arial"/>
        </w:rPr>
        <w:t xml:space="preserve">certain </w:t>
      </w:r>
      <w:r w:rsidRPr="00377975">
        <w:rPr>
          <w:rFonts w:cs="Arial"/>
        </w:rPr>
        <w:t xml:space="preserve">groups </w:t>
      </w:r>
      <w:r>
        <w:rPr>
          <w:rFonts w:cs="Arial"/>
        </w:rPr>
        <w:t xml:space="preserve">in particular </w:t>
      </w:r>
      <w:r w:rsidRPr="00377975">
        <w:rPr>
          <w:rFonts w:cs="Arial"/>
        </w:rPr>
        <w:t>(</w:t>
      </w:r>
      <w:r>
        <w:rPr>
          <w:rFonts w:cs="Arial"/>
        </w:rPr>
        <w:t xml:space="preserve">including </w:t>
      </w:r>
      <w:r w:rsidRPr="00377975">
        <w:rPr>
          <w:rFonts w:cs="Arial"/>
        </w:rPr>
        <w:t>women, migrant workers, M</w:t>
      </w:r>
      <w:r w:rsidRPr="001D6FFA">
        <w:t>ā</w:t>
      </w:r>
      <w:r w:rsidRPr="00377975">
        <w:rPr>
          <w:rFonts w:cs="Arial"/>
        </w:rPr>
        <w:t xml:space="preserve">ori </w:t>
      </w:r>
      <w:r>
        <w:rPr>
          <w:rFonts w:cs="Arial"/>
        </w:rPr>
        <w:t xml:space="preserve">and </w:t>
      </w:r>
      <w:r w:rsidRPr="00377975">
        <w:rPr>
          <w:rFonts w:cs="Arial"/>
        </w:rPr>
        <w:t>Pacific</w:t>
      </w:r>
      <w:r>
        <w:rPr>
          <w:rFonts w:cs="Arial"/>
        </w:rPr>
        <w:t xml:space="preserve"> people</w:t>
      </w:r>
      <w:r w:rsidRPr="00377975">
        <w:rPr>
          <w:rFonts w:cs="Arial"/>
        </w:rPr>
        <w:t xml:space="preserve">) </w:t>
      </w:r>
      <w:r>
        <w:rPr>
          <w:rFonts w:cs="Arial"/>
        </w:rPr>
        <w:t xml:space="preserve">tend to </w:t>
      </w:r>
      <w:r w:rsidRPr="00377975">
        <w:rPr>
          <w:rFonts w:cs="Arial"/>
        </w:rPr>
        <w:t>work in low-paid</w:t>
      </w:r>
      <w:r w:rsidRPr="008565C1">
        <w:rPr>
          <w:rFonts w:cs="Arial"/>
        </w:rPr>
        <w:t>, essential service roles</w:t>
      </w:r>
      <w:r>
        <w:rPr>
          <w:rFonts w:cs="Arial"/>
        </w:rPr>
        <w:t xml:space="preserve"> (for example, in supermarkets, or as midwives), and that this </w:t>
      </w:r>
      <w:r w:rsidRPr="008565C1">
        <w:rPr>
          <w:rFonts w:cs="Arial"/>
        </w:rPr>
        <w:t>effectively result</w:t>
      </w:r>
      <w:r>
        <w:rPr>
          <w:rFonts w:cs="Arial"/>
        </w:rPr>
        <w:t xml:space="preserve">s </w:t>
      </w:r>
      <w:r w:rsidRPr="008565C1">
        <w:rPr>
          <w:rFonts w:cs="Arial"/>
        </w:rPr>
        <w:t>in th</w:t>
      </w:r>
      <w:r>
        <w:rPr>
          <w:rFonts w:cs="Arial"/>
        </w:rPr>
        <w:t xml:space="preserve">ose individuals </w:t>
      </w:r>
      <w:r w:rsidRPr="008565C1">
        <w:rPr>
          <w:rFonts w:cs="Arial"/>
        </w:rPr>
        <w:t>carrying a higher risk of infection</w:t>
      </w:r>
      <w:r>
        <w:rPr>
          <w:rFonts w:cs="Arial"/>
        </w:rPr>
        <w:t>. It was suggested that the Framework should consider prioritising these groups in terms of allocation of certain resources, such as vaccines and PPE.</w:t>
      </w:r>
    </w:p>
    <w:p w14:paraId="41C69B57" w14:textId="77777777" w:rsidR="00966826" w:rsidRDefault="00966826" w:rsidP="00966826">
      <w:pPr>
        <w:rPr>
          <w:rFonts w:cs="Arial"/>
        </w:rPr>
      </w:pPr>
    </w:p>
    <w:p w14:paraId="46E30F7B" w14:textId="77777777" w:rsidR="00966826" w:rsidRPr="00313EC9" w:rsidRDefault="00966826" w:rsidP="00966826">
      <w:pPr>
        <w:autoSpaceDE w:val="0"/>
        <w:autoSpaceDN w:val="0"/>
        <w:adjustRightInd w:val="0"/>
      </w:pPr>
      <w:r>
        <w:t xml:space="preserve">One submitter noted that it would be useful for the vaccine allocation section to mention the principles and practice used in the context of funding for other vaccines, in terms of coherence and whole-of-government approaches to public policy. </w:t>
      </w:r>
    </w:p>
    <w:p w14:paraId="0FD5CCC2" w14:textId="77777777" w:rsidR="00966826" w:rsidRDefault="00966826" w:rsidP="00966826">
      <w:pPr>
        <w:pStyle w:val="Heading2"/>
      </w:pPr>
      <w:bookmarkStart w:id="50" w:name="_Toc50025120"/>
      <w:bookmarkStart w:id="51" w:name="_Toc50491743"/>
      <w:r>
        <w:lastRenderedPageBreak/>
        <w:t>Use of quality-adjusted life years as a tool for resource allocation</w:t>
      </w:r>
      <w:bookmarkEnd w:id="50"/>
      <w:bookmarkEnd w:id="51"/>
    </w:p>
    <w:p w14:paraId="2A53D9F0" w14:textId="77777777" w:rsidR="00966826" w:rsidRDefault="00966826" w:rsidP="00966826">
      <w:pPr>
        <w:rPr>
          <w:rFonts w:cs="Arial"/>
          <w:color w:val="000000"/>
        </w:rPr>
      </w:pPr>
      <w:r w:rsidRPr="00A44005">
        <w:rPr>
          <w:rFonts w:cs="Arial"/>
          <w:color w:val="000000"/>
        </w:rPr>
        <w:t xml:space="preserve">Overall there was mixed feedback from submitters regarding the </w:t>
      </w:r>
      <w:r>
        <w:rPr>
          <w:rFonts w:cs="Arial"/>
          <w:color w:val="000000"/>
        </w:rPr>
        <w:t xml:space="preserve">Framework’s </w:t>
      </w:r>
      <w:r w:rsidRPr="00A44005">
        <w:rPr>
          <w:rFonts w:cs="Arial"/>
          <w:color w:val="000000"/>
        </w:rPr>
        <w:t xml:space="preserve">use of </w:t>
      </w:r>
      <w:r w:rsidRPr="006278B2">
        <w:rPr>
          <w:rFonts w:cs="Arial"/>
          <w:color w:val="000000"/>
        </w:rPr>
        <w:t xml:space="preserve">quality-adjusted life years </w:t>
      </w:r>
      <w:r>
        <w:rPr>
          <w:rFonts w:cs="Arial"/>
          <w:color w:val="000000"/>
        </w:rPr>
        <w:t>(</w:t>
      </w:r>
      <w:r w:rsidRPr="00A44005">
        <w:rPr>
          <w:rFonts w:cs="Arial"/>
          <w:color w:val="000000"/>
        </w:rPr>
        <w:t>QALYs</w:t>
      </w:r>
      <w:r>
        <w:rPr>
          <w:rFonts w:cs="Arial"/>
          <w:color w:val="000000"/>
        </w:rPr>
        <w:t>)</w:t>
      </w:r>
      <w:r w:rsidRPr="00A44005">
        <w:rPr>
          <w:rFonts w:cs="Arial"/>
          <w:color w:val="000000"/>
        </w:rPr>
        <w:t xml:space="preserve"> as a tool for resource allocation. </w:t>
      </w:r>
      <w:r>
        <w:rPr>
          <w:rFonts w:cs="Arial"/>
          <w:color w:val="000000"/>
        </w:rPr>
        <w:t xml:space="preserve">A QALY is </w:t>
      </w:r>
      <w:r w:rsidRPr="006278B2">
        <w:rPr>
          <w:rFonts w:cs="Arial"/>
          <w:color w:val="000000"/>
        </w:rPr>
        <w:t xml:space="preserve">a generic measure of disease burden, </w:t>
      </w:r>
      <w:r>
        <w:rPr>
          <w:rFonts w:cs="Arial"/>
          <w:color w:val="000000"/>
        </w:rPr>
        <w:t xml:space="preserve">including </w:t>
      </w:r>
      <w:r w:rsidRPr="006278B2">
        <w:rPr>
          <w:rFonts w:cs="Arial"/>
          <w:color w:val="000000"/>
        </w:rPr>
        <w:t xml:space="preserve">both the quality and the quantity of </w:t>
      </w:r>
      <w:r>
        <w:rPr>
          <w:rFonts w:cs="Arial"/>
          <w:color w:val="000000"/>
        </w:rPr>
        <w:t xml:space="preserve">a person’s </w:t>
      </w:r>
      <w:r w:rsidRPr="006278B2">
        <w:rPr>
          <w:rFonts w:cs="Arial"/>
          <w:color w:val="000000"/>
        </w:rPr>
        <w:t>life</w:t>
      </w:r>
      <w:r>
        <w:rPr>
          <w:rFonts w:cs="Arial"/>
          <w:color w:val="000000"/>
        </w:rPr>
        <w:t xml:space="preserve">. It </w:t>
      </w:r>
      <w:proofErr w:type="gramStart"/>
      <w:r>
        <w:rPr>
          <w:rFonts w:cs="Arial"/>
          <w:color w:val="000000"/>
        </w:rPr>
        <w:t>takes into account</w:t>
      </w:r>
      <w:proofErr w:type="gramEnd"/>
      <w:r>
        <w:rPr>
          <w:rFonts w:cs="Arial"/>
          <w:color w:val="000000"/>
        </w:rPr>
        <w:t xml:space="preserve"> age, weight, cardiovascular risk scores, and so on, and is </w:t>
      </w:r>
      <w:r w:rsidRPr="006278B2">
        <w:rPr>
          <w:rFonts w:cs="Arial"/>
          <w:color w:val="000000"/>
        </w:rPr>
        <w:t xml:space="preserve">used in economic evaluation to assess the value of medical interventions. One QALY </w:t>
      </w:r>
      <w:r>
        <w:rPr>
          <w:rFonts w:cs="Arial"/>
          <w:color w:val="000000"/>
        </w:rPr>
        <w:t xml:space="preserve">represents </w:t>
      </w:r>
      <w:r w:rsidRPr="006278B2">
        <w:rPr>
          <w:rFonts w:cs="Arial"/>
          <w:color w:val="000000"/>
        </w:rPr>
        <w:t>one year in perfect health.</w:t>
      </w:r>
    </w:p>
    <w:p w14:paraId="6DDCA3DA" w14:textId="77777777" w:rsidR="00966826" w:rsidRDefault="00966826" w:rsidP="00966826">
      <w:pPr>
        <w:rPr>
          <w:rFonts w:cs="Arial"/>
          <w:color w:val="000000"/>
        </w:rPr>
      </w:pPr>
    </w:p>
    <w:p w14:paraId="4486CFF7" w14:textId="77777777" w:rsidR="00966826" w:rsidRPr="00A44005" w:rsidRDefault="00966826" w:rsidP="00966826">
      <w:pPr>
        <w:rPr>
          <w:rFonts w:cs="Arial"/>
          <w:color w:val="000000"/>
        </w:rPr>
      </w:pPr>
      <w:r w:rsidRPr="00A44005">
        <w:rPr>
          <w:rFonts w:cs="Arial"/>
          <w:color w:val="000000"/>
        </w:rPr>
        <w:t>Some submitters supported the Framework</w:t>
      </w:r>
      <w:r>
        <w:rPr>
          <w:rFonts w:cs="Arial"/>
          <w:color w:val="000000"/>
        </w:rPr>
        <w:t>’s assertion</w:t>
      </w:r>
      <w:r w:rsidRPr="00A44005">
        <w:rPr>
          <w:rFonts w:cs="Arial"/>
          <w:color w:val="000000"/>
        </w:rPr>
        <w:t xml:space="preserve"> that QALYs should not be used </w:t>
      </w:r>
      <w:r>
        <w:rPr>
          <w:rFonts w:cs="Arial"/>
          <w:color w:val="000000"/>
        </w:rPr>
        <w:t xml:space="preserve">in </w:t>
      </w:r>
      <w:r w:rsidRPr="00A44005">
        <w:rPr>
          <w:rFonts w:cs="Arial"/>
          <w:color w:val="000000"/>
        </w:rPr>
        <w:t>resource allocation decisions</w:t>
      </w:r>
      <w:r>
        <w:rPr>
          <w:rFonts w:cs="Arial"/>
          <w:color w:val="000000"/>
        </w:rPr>
        <w:t>,</w:t>
      </w:r>
      <w:r w:rsidRPr="00A44005">
        <w:rPr>
          <w:rFonts w:cs="Arial"/>
          <w:color w:val="000000"/>
        </w:rPr>
        <w:t xml:space="preserve"> because </w:t>
      </w:r>
      <w:r>
        <w:rPr>
          <w:rFonts w:cs="Arial"/>
          <w:color w:val="000000"/>
        </w:rPr>
        <w:t xml:space="preserve">this </w:t>
      </w:r>
      <w:r w:rsidRPr="00A44005">
        <w:rPr>
          <w:rFonts w:cs="Arial"/>
          <w:color w:val="000000"/>
        </w:rPr>
        <w:t>can be detrimental to particular groups</w:t>
      </w:r>
      <w:r>
        <w:rPr>
          <w:rFonts w:cs="Arial"/>
          <w:color w:val="000000"/>
        </w:rPr>
        <w:t>,</w:t>
      </w:r>
      <w:r w:rsidRPr="00A44005">
        <w:rPr>
          <w:rFonts w:cs="Arial"/>
          <w:color w:val="000000"/>
        </w:rPr>
        <w:t xml:space="preserve"> such as those with already high health needs. </w:t>
      </w:r>
    </w:p>
    <w:p w14:paraId="02E5149F" w14:textId="77777777" w:rsidR="00966826" w:rsidRPr="00A44005" w:rsidRDefault="00966826" w:rsidP="00966826">
      <w:pPr>
        <w:rPr>
          <w:rFonts w:cs="Arial"/>
          <w:color w:val="000000"/>
        </w:rPr>
      </w:pPr>
    </w:p>
    <w:p w14:paraId="2954BBBB" w14:textId="77777777" w:rsidR="00966826" w:rsidRDefault="00966826" w:rsidP="00966826">
      <w:pPr>
        <w:rPr>
          <w:rFonts w:cs="Arial"/>
          <w:color w:val="000000"/>
        </w:rPr>
      </w:pPr>
      <w:r>
        <w:rPr>
          <w:rFonts w:cs="Arial"/>
          <w:color w:val="000000"/>
        </w:rPr>
        <w:t>O</w:t>
      </w:r>
      <w:r w:rsidRPr="00A44005">
        <w:rPr>
          <w:rFonts w:cs="Arial"/>
          <w:color w:val="000000"/>
        </w:rPr>
        <w:t>ther</w:t>
      </w:r>
      <w:r>
        <w:rPr>
          <w:rFonts w:cs="Arial"/>
          <w:color w:val="000000"/>
        </w:rPr>
        <w:t>s</w:t>
      </w:r>
      <w:r w:rsidRPr="00A44005">
        <w:rPr>
          <w:rFonts w:cs="Arial"/>
          <w:color w:val="000000"/>
        </w:rPr>
        <w:t xml:space="preserve"> disagreed</w:t>
      </w:r>
      <w:r>
        <w:rPr>
          <w:rFonts w:cs="Arial"/>
          <w:color w:val="000000"/>
        </w:rPr>
        <w:t xml:space="preserve">, arguing </w:t>
      </w:r>
      <w:r w:rsidRPr="00A44005">
        <w:rPr>
          <w:rFonts w:cs="Arial"/>
          <w:color w:val="000000"/>
        </w:rPr>
        <w:t xml:space="preserve">that QALYs can </w:t>
      </w:r>
      <w:r>
        <w:rPr>
          <w:rFonts w:cs="Arial"/>
          <w:color w:val="000000"/>
        </w:rPr>
        <w:t xml:space="preserve">either </w:t>
      </w:r>
      <w:r w:rsidRPr="00A44005">
        <w:rPr>
          <w:rFonts w:cs="Arial"/>
          <w:color w:val="000000"/>
        </w:rPr>
        <w:t xml:space="preserve">disadvantage </w:t>
      </w:r>
      <w:r>
        <w:rPr>
          <w:rFonts w:cs="Arial"/>
          <w:color w:val="000000"/>
        </w:rPr>
        <w:t xml:space="preserve">or </w:t>
      </w:r>
      <w:r w:rsidRPr="00A44005">
        <w:rPr>
          <w:rFonts w:cs="Arial"/>
          <w:color w:val="000000"/>
        </w:rPr>
        <w:t>advantage certain groups</w:t>
      </w:r>
      <w:r>
        <w:rPr>
          <w:rFonts w:cs="Arial"/>
          <w:color w:val="000000"/>
        </w:rPr>
        <w:t>,</w:t>
      </w:r>
      <w:r w:rsidRPr="00A44005">
        <w:rPr>
          <w:rFonts w:cs="Arial"/>
          <w:color w:val="000000"/>
        </w:rPr>
        <w:t xml:space="preserve"> depending on how they are used. These submitters thought that the</w:t>
      </w:r>
      <w:r>
        <w:rPr>
          <w:rFonts w:cs="Arial"/>
          <w:color w:val="000000"/>
        </w:rPr>
        <w:t xml:space="preserve"> final</w:t>
      </w:r>
      <w:r w:rsidRPr="00A44005">
        <w:rPr>
          <w:rFonts w:cs="Arial"/>
          <w:color w:val="000000"/>
        </w:rPr>
        <w:t xml:space="preserve"> iteration of the Framework should not conflate the value-free metric of a QALY with </w:t>
      </w:r>
      <w:r>
        <w:rPr>
          <w:rFonts w:cs="Arial"/>
          <w:color w:val="000000"/>
        </w:rPr>
        <w:t xml:space="preserve">its use in </w:t>
      </w:r>
      <w:r w:rsidRPr="00A44005">
        <w:rPr>
          <w:rFonts w:cs="Arial"/>
          <w:color w:val="000000"/>
        </w:rPr>
        <w:t xml:space="preserve">allocating resources and were concerned that the Framework’s statement </w:t>
      </w:r>
      <w:r>
        <w:rPr>
          <w:rFonts w:cs="Arial"/>
          <w:color w:val="000000"/>
        </w:rPr>
        <w:t xml:space="preserve">on QALYs </w:t>
      </w:r>
      <w:r w:rsidRPr="00A44005">
        <w:rPr>
          <w:rFonts w:cs="Arial"/>
          <w:color w:val="000000"/>
        </w:rPr>
        <w:t>could be read as a rejection of the need to consider a patient’s ability to benefit from treatment.</w:t>
      </w:r>
    </w:p>
    <w:p w14:paraId="32B2AF9B" w14:textId="77777777" w:rsidR="00966826" w:rsidRPr="00A44005" w:rsidRDefault="00966826" w:rsidP="00966826">
      <w:pPr>
        <w:rPr>
          <w:rFonts w:cs="Arial"/>
          <w:color w:val="000000"/>
        </w:rPr>
      </w:pPr>
    </w:p>
    <w:p w14:paraId="0C07A068" w14:textId="77777777" w:rsidR="00966826" w:rsidRDefault="00966826" w:rsidP="00966826">
      <w:pPr>
        <w:rPr>
          <w:rFonts w:cs="Arial"/>
          <w:color w:val="000000"/>
        </w:rPr>
      </w:pPr>
      <w:r>
        <w:rPr>
          <w:rFonts w:cs="Arial"/>
          <w:color w:val="000000"/>
        </w:rPr>
        <w:t xml:space="preserve">NEAC acknowledges that </w:t>
      </w:r>
      <w:r w:rsidRPr="00A44005">
        <w:rPr>
          <w:rFonts w:cs="Arial"/>
          <w:color w:val="000000"/>
        </w:rPr>
        <w:t>this section</w:t>
      </w:r>
      <w:r>
        <w:rPr>
          <w:rFonts w:cs="Arial"/>
          <w:color w:val="000000"/>
        </w:rPr>
        <w:t xml:space="preserve"> </w:t>
      </w:r>
      <w:r w:rsidRPr="00A44005">
        <w:rPr>
          <w:rFonts w:cs="Arial"/>
          <w:color w:val="000000"/>
        </w:rPr>
        <w:t>needs more work</w:t>
      </w:r>
      <w:r>
        <w:rPr>
          <w:rFonts w:cs="Arial"/>
          <w:color w:val="000000"/>
        </w:rPr>
        <w:t>, so that it is</w:t>
      </w:r>
      <w:r w:rsidRPr="00A44005">
        <w:rPr>
          <w:rFonts w:cs="Arial"/>
          <w:color w:val="000000"/>
        </w:rPr>
        <w:t xml:space="preserve"> </w:t>
      </w:r>
      <w:r>
        <w:rPr>
          <w:rFonts w:cs="Arial"/>
          <w:color w:val="000000"/>
        </w:rPr>
        <w:t xml:space="preserve">clear and </w:t>
      </w:r>
      <w:r w:rsidRPr="00A44005">
        <w:rPr>
          <w:rFonts w:cs="Arial"/>
          <w:color w:val="000000"/>
        </w:rPr>
        <w:t>helpful</w:t>
      </w:r>
      <w:r>
        <w:rPr>
          <w:rFonts w:cs="Arial"/>
          <w:color w:val="000000"/>
        </w:rPr>
        <w:t xml:space="preserve"> in practice,</w:t>
      </w:r>
      <w:r w:rsidRPr="00A44005">
        <w:rPr>
          <w:rFonts w:cs="Arial"/>
          <w:color w:val="000000"/>
        </w:rPr>
        <w:t xml:space="preserve"> and strike</w:t>
      </w:r>
      <w:r>
        <w:rPr>
          <w:rFonts w:cs="Arial"/>
          <w:color w:val="000000"/>
        </w:rPr>
        <w:t>s</w:t>
      </w:r>
      <w:r w:rsidRPr="00A44005">
        <w:rPr>
          <w:rFonts w:cs="Arial"/>
          <w:color w:val="000000"/>
        </w:rPr>
        <w:t xml:space="preserve"> the right balance whil</w:t>
      </w:r>
      <w:r>
        <w:rPr>
          <w:rFonts w:cs="Arial"/>
          <w:color w:val="000000"/>
        </w:rPr>
        <w:t>e</w:t>
      </w:r>
      <w:r w:rsidRPr="00A44005">
        <w:rPr>
          <w:rFonts w:cs="Arial"/>
          <w:color w:val="000000"/>
        </w:rPr>
        <w:t xml:space="preserve"> </w:t>
      </w:r>
      <w:r>
        <w:rPr>
          <w:rFonts w:cs="Arial"/>
          <w:color w:val="000000"/>
        </w:rPr>
        <w:t xml:space="preserve">also </w:t>
      </w:r>
      <w:r w:rsidRPr="00A44005">
        <w:rPr>
          <w:rFonts w:cs="Arial"/>
          <w:color w:val="000000"/>
        </w:rPr>
        <w:t xml:space="preserve">acknowledging that the use of QALYs in itself </w:t>
      </w:r>
      <w:r>
        <w:rPr>
          <w:rFonts w:cs="Arial"/>
          <w:color w:val="000000"/>
        </w:rPr>
        <w:t xml:space="preserve">produces </w:t>
      </w:r>
      <w:r w:rsidRPr="00A44005">
        <w:rPr>
          <w:rFonts w:cs="Arial"/>
          <w:color w:val="000000"/>
        </w:rPr>
        <w:t xml:space="preserve">an ethical tension. </w:t>
      </w:r>
    </w:p>
    <w:p w14:paraId="1BA17A1E" w14:textId="77777777" w:rsidR="00966826" w:rsidRPr="00A44005" w:rsidRDefault="00966826" w:rsidP="00966826">
      <w:pPr>
        <w:rPr>
          <w:rFonts w:cs="Arial"/>
          <w:color w:val="000000"/>
        </w:rPr>
      </w:pPr>
    </w:p>
    <w:p w14:paraId="421631D3" w14:textId="77777777" w:rsidR="00F2467F" w:rsidRDefault="00966826" w:rsidP="00F2467F">
      <w:pPr>
        <w:rPr>
          <w:rFonts w:cs="Arial"/>
          <w:color w:val="000000"/>
        </w:rPr>
      </w:pPr>
      <w:r>
        <w:rPr>
          <w:rFonts w:cs="Arial"/>
          <w:color w:val="000000"/>
        </w:rPr>
        <w:t xml:space="preserve">Submitters </w:t>
      </w:r>
      <w:r w:rsidRPr="00A44005">
        <w:rPr>
          <w:rFonts w:cs="Arial"/>
          <w:color w:val="000000"/>
        </w:rPr>
        <w:t xml:space="preserve">suggested that NEAC </w:t>
      </w:r>
      <w:r>
        <w:rPr>
          <w:rFonts w:cs="Arial"/>
          <w:color w:val="000000"/>
        </w:rPr>
        <w:t xml:space="preserve">should </w:t>
      </w:r>
      <w:r w:rsidRPr="00A44005">
        <w:rPr>
          <w:rFonts w:cs="Arial"/>
          <w:color w:val="000000"/>
        </w:rPr>
        <w:t>consider referencing other tools in the Framework that balance health need</w:t>
      </w:r>
      <w:r>
        <w:rPr>
          <w:rFonts w:cs="Arial"/>
          <w:color w:val="000000"/>
        </w:rPr>
        <w:t>s</w:t>
      </w:r>
      <w:r w:rsidRPr="00A44005">
        <w:rPr>
          <w:rFonts w:cs="Arial"/>
          <w:color w:val="000000"/>
        </w:rPr>
        <w:t xml:space="preserve"> and equity with the </w:t>
      </w:r>
      <w:r>
        <w:rPr>
          <w:rFonts w:cs="Arial"/>
          <w:color w:val="000000"/>
        </w:rPr>
        <w:t>relativ</w:t>
      </w:r>
      <w:r w:rsidRPr="00A44005">
        <w:rPr>
          <w:rFonts w:cs="Arial"/>
          <w:color w:val="000000"/>
        </w:rPr>
        <w:t>e effectiveness and cost-effectiveness of health technologies, among other considerations.</w:t>
      </w:r>
      <w:bookmarkStart w:id="52" w:name="_Toc50025121"/>
    </w:p>
    <w:p w14:paraId="7066FD17" w14:textId="5FF4816E" w:rsidR="00966826" w:rsidRDefault="00966826" w:rsidP="00F2467F">
      <w:pPr>
        <w:pStyle w:val="Heading2"/>
      </w:pPr>
      <w:bookmarkStart w:id="53" w:name="_Toc50491744"/>
      <w:r>
        <w:t>General allocation guidance</w:t>
      </w:r>
      <w:bookmarkEnd w:id="52"/>
      <w:bookmarkEnd w:id="53"/>
    </w:p>
    <w:p w14:paraId="6D1215AD" w14:textId="394FCDD7" w:rsidR="00966826" w:rsidRDefault="00966826" w:rsidP="00966826">
      <w:pPr>
        <w:rPr>
          <w:rFonts w:cs="Arial"/>
        </w:rPr>
      </w:pPr>
      <w:r>
        <w:rPr>
          <w:rFonts w:cs="Arial"/>
        </w:rPr>
        <w:t>Submitters suggested that t</w:t>
      </w:r>
      <w:r w:rsidRPr="008565C1">
        <w:rPr>
          <w:rFonts w:cs="Arial"/>
        </w:rPr>
        <w:t xml:space="preserve">here </w:t>
      </w:r>
      <w:r>
        <w:rPr>
          <w:rFonts w:cs="Arial"/>
        </w:rPr>
        <w:t xml:space="preserve">was an </w:t>
      </w:r>
      <w:r w:rsidRPr="008565C1">
        <w:rPr>
          <w:rFonts w:cs="Arial"/>
        </w:rPr>
        <w:t xml:space="preserve">opportunity to widen the context </w:t>
      </w:r>
      <w:r>
        <w:rPr>
          <w:rFonts w:cs="Arial"/>
        </w:rPr>
        <w:t xml:space="preserve">of the Framework from hospital resources </w:t>
      </w:r>
      <w:r w:rsidRPr="008565C1">
        <w:rPr>
          <w:rFonts w:cs="Arial"/>
        </w:rPr>
        <w:t xml:space="preserve">to primary care, community care, </w:t>
      </w:r>
      <w:r>
        <w:rPr>
          <w:rFonts w:cs="Arial"/>
        </w:rPr>
        <w:t xml:space="preserve">non-government organisation and </w:t>
      </w:r>
      <w:proofErr w:type="spellStart"/>
      <w:r>
        <w:rPr>
          <w:rFonts w:cs="Arial"/>
        </w:rPr>
        <w:t>wh</w:t>
      </w:r>
      <w:r w:rsidRPr="00DC66E4">
        <w:rPr>
          <w:rFonts w:cs="Arial"/>
        </w:rPr>
        <w:t>ā</w:t>
      </w:r>
      <w:r>
        <w:rPr>
          <w:rFonts w:cs="Arial"/>
        </w:rPr>
        <w:t>nau</w:t>
      </w:r>
      <w:proofErr w:type="spellEnd"/>
      <w:r>
        <w:rPr>
          <w:rFonts w:cs="Arial"/>
        </w:rPr>
        <w:t xml:space="preserve"> </w:t>
      </w:r>
      <w:r w:rsidRPr="008565C1">
        <w:rPr>
          <w:rFonts w:cs="Arial"/>
        </w:rPr>
        <w:t>settings</w:t>
      </w:r>
      <w:r>
        <w:rPr>
          <w:rFonts w:cs="Arial"/>
        </w:rPr>
        <w:t>.</w:t>
      </w:r>
    </w:p>
    <w:p w14:paraId="45987571" w14:textId="77777777" w:rsidR="00966826" w:rsidRDefault="00966826" w:rsidP="00966826">
      <w:pPr>
        <w:rPr>
          <w:rFonts w:cs="Arial"/>
        </w:rPr>
      </w:pPr>
    </w:p>
    <w:p w14:paraId="69D68CEC" w14:textId="77777777" w:rsidR="00966826" w:rsidRDefault="00966826" w:rsidP="00966826">
      <w:pPr>
        <w:spacing w:after="200"/>
        <w:rPr>
          <w:rFonts w:cs="Arial"/>
        </w:rPr>
      </w:pPr>
      <w:r>
        <w:rPr>
          <w:rFonts w:cs="Arial"/>
        </w:rPr>
        <w:t>Submitters noted that, during the level 4 lockdown period within the COVID-19 response, health professionals would have benefited from better channels of information, including guidance on the definition of ‘non-essential services’ and ‘</w:t>
      </w:r>
      <w:r w:rsidRPr="008565C1">
        <w:rPr>
          <w:rFonts w:cs="Arial"/>
        </w:rPr>
        <w:t>essential surgery</w:t>
      </w:r>
      <w:r>
        <w:rPr>
          <w:rFonts w:cs="Arial"/>
        </w:rPr>
        <w:t xml:space="preserve">’. Some submitters called for the Framework to explore the idea of triage consistency, to mitigate the misinformation and harm associated with inconsistency. Submitters noted that the Framework could give clearer guidance to </w:t>
      </w:r>
      <w:r w:rsidRPr="008565C1">
        <w:rPr>
          <w:rFonts w:cs="Arial"/>
        </w:rPr>
        <w:t>primary care providers and staff</w:t>
      </w:r>
      <w:r>
        <w:rPr>
          <w:rFonts w:cs="Arial"/>
        </w:rPr>
        <w:t xml:space="preserve"> working on the frontline in health.</w:t>
      </w:r>
    </w:p>
    <w:p w14:paraId="66E93C55" w14:textId="77777777" w:rsidR="00966826" w:rsidRPr="00CD3CB5" w:rsidRDefault="00966826" w:rsidP="00966826">
      <w:pPr>
        <w:spacing w:after="200"/>
        <w:rPr>
          <w:rFonts w:cs="Arial"/>
        </w:rPr>
      </w:pPr>
      <w:r>
        <w:rPr>
          <w:rFonts w:cs="Arial"/>
          <w:color w:val="000000"/>
        </w:rPr>
        <w:t xml:space="preserve">Submitters suggested that the Framework could include </w:t>
      </w:r>
      <w:r w:rsidRPr="008565C1">
        <w:rPr>
          <w:rFonts w:cs="Arial"/>
          <w:color w:val="000000"/>
        </w:rPr>
        <w:t xml:space="preserve">information on approaches to advanced care planning and developing shared goals of care that </w:t>
      </w:r>
      <w:r>
        <w:rPr>
          <w:rFonts w:cs="Arial"/>
          <w:color w:val="000000"/>
        </w:rPr>
        <w:t xml:space="preserve">could </w:t>
      </w:r>
      <w:r w:rsidRPr="008565C1">
        <w:rPr>
          <w:rFonts w:cs="Arial"/>
          <w:color w:val="000000"/>
        </w:rPr>
        <w:t xml:space="preserve">be </w:t>
      </w:r>
      <w:r w:rsidRPr="008565C1">
        <w:rPr>
          <w:rFonts w:cs="Arial"/>
          <w:color w:val="000000"/>
        </w:rPr>
        <w:lastRenderedPageBreak/>
        <w:t>implemented prior to or during a pandemic</w:t>
      </w:r>
      <w:r>
        <w:rPr>
          <w:rFonts w:cs="Arial"/>
          <w:color w:val="000000"/>
        </w:rPr>
        <w:t>, to improve the application of the Framework</w:t>
      </w:r>
      <w:r w:rsidRPr="008565C1">
        <w:rPr>
          <w:rFonts w:cs="Arial"/>
          <w:color w:val="000000"/>
        </w:rPr>
        <w:t>.</w:t>
      </w:r>
    </w:p>
    <w:p w14:paraId="059676D1" w14:textId="099D1823" w:rsidR="00966826" w:rsidRPr="009205DA" w:rsidRDefault="00966826" w:rsidP="00966826">
      <w:pPr>
        <w:autoSpaceDE w:val="0"/>
        <w:autoSpaceDN w:val="0"/>
        <w:adjustRightInd w:val="0"/>
        <w:rPr>
          <w:rFonts w:cs="Arial"/>
        </w:rPr>
      </w:pPr>
      <w:r>
        <w:rPr>
          <w:rFonts w:cs="Arial"/>
        </w:rPr>
        <w:t>One submitter noted that t</w:t>
      </w:r>
      <w:r w:rsidRPr="008565C1">
        <w:rPr>
          <w:rFonts w:cs="Arial"/>
        </w:rPr>
        <w:t>he concept of a ‘tipping point’ in a pandemic</w:t>
      </w:r>
      <w:r>
        <w:rPr>
          <w:rFonts w:cs="Arial"/>
        </w:rPr>
        <w:t xml:space="preserve">, or more detail on stage of the pandemic and corresponding changes in weight of principles, might be </w:t>
      </w:r>
      <w:r w:rsidRPr="008565C1">
        <w:rPr>
          <w:rFonts w:cs="Arial"/>
        </w:rPr>
        <w:t xml:space="preserve">useful </w:t>
      </w:r>
      <w:r>
        <w:rPr>
          <w:rFonts w:cs="Arial"/>
        </w:rPr>
        <w:t>in the Framework</w:t>
      </w:r>
      <w:r w:rsidRPr="008565C1">
        <w:rPr>
          <w:rFonts w:cs="Arial"/>
        </w:rPr>
        <w:t xml:space="preserve">. </w:t>
      </w:r>
      <w:r>
        <w:rPr>
          <w:rFonts w:cs="Arial"/>
        </w:rPr>
        <w:t xml:space="preserve">For example, the Framework could help clinicians define the tipping </w:t>
      </w:r>
      <w:r w:rsidRPr="008565C1">
        <w:rPr>
          <w:rFonts w:cs="Arial"/>
        </w:rPr>
        <w:t xml:space="preserve">point, and </w:t>
      </w:r>
      <w:r>
        <w:rPr>
          <w:rFonts w:cs="Arial"/>
        </w:rPr>
        <w:t xml:space="preserve">state </w:t>
      </w:r>
      <w:r w:rsidRPr="008565C1">
        <w:rPr>
          <w:rFonts w:cs="Arial"/>
        </w:rPr>
        <w:t>the</w:t>
      </w:r>
      <w:r>
        <w:rPr>
          <w:rFonts w:cs="Arial"/>
        </w:rPr>
        <w:t xml:space="preserve"> </w:t>
      </w:r>
      <w:r w:rsidRPr="008565C1">
        <w:rPr>
          <w:rFonts w:cs="Arial"/>
        </w:rPr>
        <w:t>underpinning ethical principles that can guide that decision</w:t>
      </w:r>
      <w:r>
        <w:rPr>
          <w:rFonts w:cs="Arial"/>
        </w:rPr>
        <w:t>.</w:t>
      </w:r>
      <w:r w:rsidRPr="008565C1">
        <w:rPr>
          <w:rFonts w:cs="Arial"/>
        </w:rPr>
        <w:t xml:space="preserve"> </w:t>
      </w:r>
    </w:p>
    <w:p w14:paraId="7858E3C6" w14:textId="77777777" w:rsidR="00966826" w:rsidRDefault="00966826" w:rsidP="00966826">
      <w:pPr>
        <w:pStyle w:val="Heading2"/>
      </w:pPr>
      <w:bookmarkStart w:id="54" w:name="_Toc50025122"/>
      <w:bookmarkStart w:id="55" w:name="_Toc50491745"/>
      <w:r>
        <w:t>Wider issues</w:t>
      </w:r>
      <w:bookmarkEnd w:id="54"/>
      <w:bookmarkEnd w:id="55"/>
    </w:p>
    <w:p w14:paraId="47BB3546" w14:textId="6AB3A95D" w:rsidR="00966826" w:rsidRDefault="00966826" w:rsidP="00966826">
      <w:pPr>
        <w:rPr>
          <w:rFonts w:cs="Arial"/>
        </w:rPr>
      </w:pPr>
      <w:r w:rsidRPr="008565C1">
        <w:rPr>
          <w:rFonts w:cs="Arial"/>
        </w:rPr>
        <w:t>Overall</w:t>
      </w:r>
      <w:r>
        <w:rPr>
          <w:rFonts w:cs="Arial"/>
        </w:rPr>
        <w:t xml:space="preserve">, submitters felt that </w:t>
      </w:r>
      <w:r w:rsidRPr="008565C1">
        <w:rPr>
          <w:rFonts w:cs="Arial"/>
        </w:rPr>
        <w:t xml:space="preserve">the </w:t>
      </w:r>
      <w:r>
        <w:rPr>
          <w:rFonts w:cs="Arial"/>
        </w:rPr>
        <w:t>Framework rightly</w:t>
      </w:r>
      <w:r w:rsidRPr="008565C1">
        <w:rPr>
          <w:rFonts w:cs="Arial"/>
        </w:rPr>
        <w:t xml:space="preserve"> highlights and emphasi</w:t>
      </w:r>
      <w:r>
        <w:rPr>
          <w:rFonts w:cs="Arial"/>
        </w:rPr>
        <w:t>s</w:t>
      </w:r>
      <w:r w:rsidRPr="008565C1">
        <w:rPr>
          <w:rFonts w:cs="Arial"/>
        </w:rPr>
        <w:t xml:space="preserve">es the view that equity should be </w:t>
      </w:r>
      <w:r>
        <w:rPr>
          <w:rFonts w:cs="Arial"/>
        </w:rPr>
        <w:t>‘</w:t>
      </w:r>
      <w:r w:rsidRPr="008565C1">
        <w:rPr>
          <w:rFonts w:cs="Arial"/>
        </w:rPr>
        <w:t>at the forefront of decision-making</w:t>
      </w:r>
      <w:r>
        <w:rPr>
          <w:rFonts w:cs="Arial"/>
        </w:rPr>
        <w:t>’</w:t>
      </w:r>
      <w:r w:rsidRPr="008565C1">
        <w:rPr>
          <w:rFonts w:cs="Arial"/>
        </w:rPr>
        <w:t xml:space="preserve"> but also</w:t>
      </w:r>
      <w:r>
        <w:rPr>
          <w:rFonts w:cs="Arial"/>
        </w:rPr>
        <w:t xml:space="preserve"> </w:t>
      </w:r>
      <w:r w:rsidRPr="008565C1">
        <w:rPr>
          <w:rFonts w:cs="Arial"/>
        </w:rPr>
        <w:t>explains why and how this is very difficult to achieve</w:t>
      </w:r>
      <w:r>
        <w:rPr>
          <w:rFonts w:cs="Arial"/>
        </w:rPr>
        <w:t xml:space="preserve"> in practice.</w:t>
      </w:r>
      <w:r w:rsidRPr="008565C1">
        <w:rPr>
          <w:rFonts w:cs="Arial"/>
        </w:rPr>
        <w:t xml:space="preserve"> </w:t>
      </w:r>
    </w:p>
    <w:p w14:paraId="09754CE6" w14:textId="77777777" w:rsidR="00966826" w:rsidRDefault="00966826" w:rsidP="00966826">
      <w:pPr>
        <w:rPr>
          <w:rFonts w:cs="Arial"/>
        </w:rPr>
      </w:pPr>
    </w:p>
    <w:p w14:paraId="73F7957E" w14:textId="7413CD8C" w:rsidR="00966826" w:rsidRDefault="00966826" w:rsidP="00966826">
      <w:pPr>
        <w:rPr>
          <w:rFonts w:cs="Arial"/>
        </w:rPr>
      </w:pPr>
      <w:r>
        <w:rPr>
          <w:rFonts w:cs="Arial"/>
        </w:rPr>
        <w:t xml:space="preserve">Submitters noted that the focus on preparing New Zealand for an overwhelming demand on health services in the context of a pandemic, as experienced by other countries in the context of COVID-19, meant a reduction in ‘non-essential’ health services. Some submitters felt that the experience of other countries showed that decisions to make reductions of this nature can be </w:t>
      </w:r>
      <w:r w:rsidRPr="008565C1">
        <w:rPr>
          <w:rFonts w:cs="Arial"/>
        </w:rPr>
        <w:t>premature</w:t>
      </w:r>
      <w:r>
        <w:rPr>
          <w:rFonts w:cs="Arial"/>
        </w:rPr>
        <w:t xml:space="preserve"> and </w:t>
      </w:r>
      <w:r w:rsidRPr="008565C1">
        <w:rPr>
          <w:rFonts w:cs="Arial"/>
        </w:rPr>
        <w:t>further perpetuate inequities</w:t>
      </w:r>
      <w:r>
        <w:rPr>
          <w:rFonts w:cs="Arial"/>
        </w:rPr>
        <w:t xml:space="preserve"> and harm. It was suggested that the Framework needs to acknowledge t</w:t>
      </w:r>
      <w:r w:rsidRPr="008565C1">
        <w:rPr>
          <w:rFonts w:cs="Arial"/>
        </w:rPr>
        <w:t>hese issues of risk, uncertainty, precauti</w:t>
      </w:r>
      <w:r>
        <w:rPr>
          <w:rFonts w:cs="Arial"/>
        </w:rPr>
        <w:t>on</w:t>
      </w:r>
      <w:r w:rsidRPr="008565C1">
        <w:rPr>
          <w:rFonts w:cs="Arial"/>
        </w:rPr>
        <w:t xml:space="preserve"> and consequent opportunity costs.</w:t>
      </w:r>
    </w:p>
    <w:p w14:paraId="36C16454" w14:textId="77777777" w:rsidR="00966826" w:rsidRPr="008565C1" w:rsidRDefault="00966826" w:rsidP="00966826">
      <w:pPr>
        <w:rPr>
          <w:rFonts w:cs="Arial"/>
        </w:rPr>
      </w:pPr>
    </w:p>
    <w:p w14:paraId="7C2F0585" w14:textId="77777777" w:rsidR="00966826" w:rsidRDefault="00966826" w:rsidP="00966826">
      <w:pPr>
        <w:autoSpaceDE w:val="0"/>
        <w:autoSpaceDN w:val="0"/>
        <w:adjustRightInd w:val="0"/>
        <w:rPr>
          <w:rFonts w:cs="Arial"/>
        </w:rPr>
      </w:pPr>
      <w:r>
        <w:rPr>
          <w:rFonts w:cs="Arial"/>
        </w:rPr>
        <w:t xml:space="preserve">Many submitters noted that for some </w:t>
      </w:r>
      <w:proofErr w:type="spellStart"/>
      <w:r>
        <w:rPr>
          <w:rFonts w:cs="Arial"/>
        </w:rPr>
        <w:t>wh</w:t>
      </w:r>
      <w:r w:rsidRPr="00DC66E4">
        <w:rPr>
          <w:rFonts w:cs="Arial"/>
        </w:rPr>
        <w:t>ā</w:t>
      </w:r>
      <w:r>
        <w:rPr>
          <w:rFonts w:cs="Arial"/>
        </w:rPr>
        <w:t>nau</w:t>
      </w:r>
      <w:proofErr w:type="spellEnd"/>
      <w:r>
        <w:rPr>
          <w:rFonts w:cs="Arial"/>
        </w:rPr>
        <w:t xml:space="preserve">, some health care resources are always scarce; consequently, there are disparities </w:t>
      </w:r>
      <w:r w:rsidRPr="008565C1">
        <w:rPr>
          <w:rFonts w:cs="Arial"/>
        </w:rPr>
        <w:t>in morbidity and mortality</w:t>
      </w:r>
      <w:r>
        <w:rPr>
          <w:rFonts w:cs="Arial"/>
        </w:rPr>
        <w:t xml:space="preserve">. These submitters suggested that </w:t>
      </w:r>
      <w:r w:rsidRPr="008565C1">
        <w:rPr>
          <w:rFonts w:cs="Arial"/>
        </w:rPr>
        <w:t xml:space="preserve">this </w:t>
      </w:r>
      <w:r>
        <w:rPr>
          <w:rFonts w:cs="Arial"/>
        </w:rPr>
        <w:t>F</w:t>
      </w:r>
      <w:r w:rsidRPr="008565C1">
        <w:rPr>
          <w:rFonts w:cs="Arial"/>
        </w:rPr>
        <w:t xml:space="preserve">ramework </w:t>
      </w:r>
      <w:r>
        <w:rPr>
          <w:rFonts w:cs="Arial"/>
        </w:rPr>
        <w:t xml:space="preserve">potentially has wider application </w:t>
      </w:r>
      <w:r w:rsidRPr="008565C1">
        <w:rPr>
          <w:rFonts w:cs="Arial"/>
        </w:rPr>
        <w:t>across health and disability services in New Zealand</w:t>
      </w:r>
      <w:r>
        <w:rPr>
          <w:rFonts w:cs="Arial"/>
        </w:rPr>
        <w:t>,</w:t>
      </w:r>
      <w:r w:rsidRPr="008565C1">
        <w:rPr>
          <w:rFonts w:cs="Arial"/>
        </w:rPr>
        <w:t xml:space="preserve"> not just in times of scarcity</w:t>
      </w:r>
      <w:r>
        <w:rPr>
          <w:rFonts w:cs="Arial"/>
        </w:rPr>
        <w:t>. A c</w:t>
      </w:r>
      <w:r w:rsidRPr="009A405A">
        <w:rPr>
          <w:rFonts w:cs="Arial"/>
        </w:rPr>
        <w:t xml:space="preserve">ontinued </w:t>
      </w:r>
      <w:r>
        <w:rPr>
          <w:rFonts w:cs="Arial"/>
        </w:rPr>
        <w:t xml:space="preserve">focus on </w:t>
      </w:r>
      <w:r w:rsidRPr="009A405A">
        <w:rPr>
          <w:rFonts w:cs="Arial"/>
        </w:rPr>
        <w:t xml:space="preserve">equity in </w:t>
      </w:r>
      <w:r>
        <w:rPr>
          <w:rFonts w:cs="Arial"/>
        </w:rPr>
        <w:t xml:space="preserve">terms of the </w:t>
      </w:r>
      <w:r w:rsidRPr="009A405A">
        <w:rPr>
          <w:rFonts w:cs="Arial"/>
        </w:rPr>
        <w:t>composition of the workforce, co-design, consumer involvement at all levels of decision-making, is needed</w:t>
      </w:r>
      <w:r w:rsidRPr="008565C1">
        <w:rPr>
          <w:rFonts w:cs="Arial"/>
        </w:rPr>
        <w:t>.</w:t>
      </w:r>
      <w:r w:rsidRPr="009A405A">
        <w:t xml:space="preserve"> </w:t>
      </w:r>
    </w:p>
    <w:p w14:paraId="32F3BE2C" w14:textId="77777777" w:rsidR="00966826" w:rsidRDefault="00966826" w:rsidP="00966826">
      <w:pPr>
        <w:autoSpaceDE w:val="0"/>
        <w:autoSpaceDN w:val="0"/>
        <w:adjustRightInd w:val="0"/>
        <w:rPr>
          <w:rFonts w:cs="Arial"/>
        </w:rPr>
      </w:pPr>
    </w:p>
    <w:p w14:paraId="4BD36564" w14:textId="77777777" w:rsidR="00966826" w:rsidRDefault="00966826" w:rsidP="00966826">
      <w:pPr>
        <w:autoSpaceDE w:val="0"/>
        <w:autoSpaceDN w:val="0"/>
        <w:adjustRightInd w:val="0"/>
        <w:rPr>
          <w:rFonts w:cs="Arial"/>
          <w:color w:val="000000"/>
        </w:rPr>
      </w:pPr>
      <w:r>
        <w:rPr>
          <w:rFonts w:cs="Arial"/>
        </w:rPr>
        <w:t xml:space="preserve">Similarly, some submitters suggested that </w:t>
      </w:r>
      <w:r>
        <w:rPr>
          <w:rFonts w:cs="Arial"/>
          <w:color w:val="000000"/>
        </w:rPr>
        <w:t xml:space="preserve">long-term </w:t>
      </w:r>
      <w:r w:rsidRPr="008565C1">
        <w:rPr>
          <w:rFonts w:cs="Arial"/>
          <w:color w:val="000000"/>
        </w:rPr>
        <w:t>underinvestment in the health sector has made the health system vulnerable to future regional and national emergencies</w:t>
      </w:r>
      <w:r>
        <w:rPr>
          <w:rFonts w:cs="Arial"/>
          <w:color w:val="000000"/>
        </w:rPr>
        <w:t xml:space="preserve">, and that without adequate investment the Framework can only </w:t>
      </w:r>
      <w:r w:rsidRPr="008565C1">
        <w:rPr>
          <w:rFonts w:cs="Arial"/>
          <w:color w:val="000000"/>
        </w:rPr>
        <w:t>assist in ethical decision</w:t>
      </w:r>
      <w:r>
        <w:rPr>
          <w:rFonts w:cs="Arial"/>
          <w:color w:val="000000"/>
        </w:rPr>
        <w:t>-</w:t>
      </w:r>
      <w:r w:rsidRPr="008565C1">
        <w:rPr>
          <w:rFonts w:cs="Arial"/>
          <w:color w:val="000000"/>
        </w:rPr>
        <w:t>making</w:t>
      </w:r>
      <w:r>
        <w:rPr>
          <w:rFonts w:cs="Arial"/>
          <w:color w:val="000000"/>
        </w:rPr>
        <w:t xml:space="preserve">. It was suggested that a social determinants of health perspective be included in the Framework, and that </w:t>
      </w:r>
      <w:r w:rsidRPr="008565C1">
        <w:rPr>
          <w:rFonts w:cs="Arial"/>
          <w:color w:val="000000"/>
        </w:rPr>
        <w:t xml:space="preserve">efforts </w:t>
      </w:r>
      <w:r>
        <w:rPr>
          <w:rFonts w:cs="Arial"/>
          <w:color w:val="000000"/>
        </w:rPr>
        <w:t xml:space="preserve">be </w:t>
      </w:r>
      <w:r w:rsidRPr="008565C1">
        <w:rPr>
          <w:rFonts w:cs="Arial"/>
          <w:color w:val="000000"/>
        </w:rPr>
        <w:t xml:space="preserve">made to increase </w:t>
      </w:r>
      <w:r>
        <w:rPr>
          <w:rFonts w:cs="Arial"/>
          <w:color w:val="000000"/>
        </w:rPr>
        <w:t xml:space="preserve">the </w:t>
      </w:r>
      <w:r w:rsidRPr="008565C1">
        <w:rPr>
          <w:rFonts w:cs="Arial"/>
          <w:color w:val="000000"/>
        </w:rPr>
        <w:t xml:space="preserve">resilience </w:t>
      </w:r>
      <w:r>
        <w:rPr>
          <w:rFonts w:cs="Arial"/>
          <w:color w:val="000000"/>
        </w:rPr>
        <w:t xml:space="preserve">of health systems and </w:t>
      </w:r>
      <w:r w:rsidRPr="007B1616">
        <w:rPr>
          <w:rFonts w:cs="Arial"/>
          <w:color w:val="000000"/>
        </w:rPr>
        <w:t>better resourc</w:t>
      </w:r>
      <w:r>
        <w:rPr>
          <w:rFonts w:cs="Arial"/>
          <w:color w:val="000000"/>
        </w:rPr>
        <w:t xml:space="preserve">e them </w:t>
      </w:r>
      <w:r w:rsidRPr="007B1616">
        <w:rPr>
          <w:rFonts w:cs="Arial"/>
          <w:color w:val="000000"/>
        </w:rPr>
        <w:t>in business</w:t>
      </w:r>
      <w:r>
        <w:rPr>
          <w:rFonts w:cs="Arial"/>
          <w:color w:val="000000"/>
        </w:rPr>
        <w:t>-</w:t>
      </w:r>
      <w:r w:rsidRPr="007B1616">
        <w:rPr>
          <w:rFonts w:cs="Arial"/>
          <w:color w:val="000000"/>
        </w:rPr>
        <w:t>as</w:t>
      </w:r>
      <w:r>
        <w:rPr>
          <w:rFonts w:cs="Arial"/>
          <w:color w:val="000000"/>
        </w:rPr>
        <w:t>-</w:t>
      </w:r>
      <w:r w:rsidRPr="007B1616">
        <w:rPr>
          <w:rFonts w:cs="Arial"/>
          <w:color w:val="000000"/>
        </w:rPr>
        <w:t>usual times</w:t>
      </w:r>
      <w:r>
        <w:rPr>
          <w:rFonts w:cs="Arial"/>
          <w:color w:val="000000"/>
        </w:rPr>
        <w:t xml:space="preserve">, so that they are </w:t>
      </w:r>
      <w:r w:rsidRPr="007B1616">
        <w:rPr>
          <w:rFonts w:cs="Arial"/>
          <w:color w:val="000000"/>
        </w:rPr>
        <w:t xml:space="preserve">adequately prepared for </w:t>
      </w:r>
      <w:r>
        <w:rPr>
          <w:rFonts w:cs="Arial"/>
          <w:color w:val="000000"/>
        </w:rPr>
        <w:t xml:space="preserve">future </w:t>
      </w:r>
      <w:r w:rsidRPr="007B1616">
        <w:rPr>
          <w:rFonts w:cs="Arial"/>
          <w:color w:val="000000"/>
        </w:rPr>
        <w:t>emergencies</w:t>
      </w:r>
      <w:r>
        <w:rPr>
          <w:rFonts w:cs="Arial"/>
          <w:color w:val="000000"/>
        </w:rPr>
        <w:t xml:space="preserve">. </w:t>
      </w:r>
    </w:p>
    <w:bookmarkEnd w:id="16"/>
    <w:p w14:paraId="63D07769" w14:textId="77777777" w:rsidR="00966826" w:rsidRPr="00966826" w:rsidRDefault="00966826" w:rsidP="00966826">
      <w:pPr>
        <w:ind w:firstLine="567"/>
      </w:pPr>
    </w:p>
    <w:sectPr w:rsidR="00966826" w:rsidRPr="00966826" w:rsidSect="001F7C66">
      <w:pgSz w:w="11907" w:h="16834" w:code="9"/>
      <w:pgMar w:top="1418" w:right="1701" w:bottom="1418" w:left="1843" w:header="284" w:footer="567"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83A1" w14:textId="77777777" w:rsidR="00062898" w:rsidRDefault="00062898">
      <w:r>
        <w:separator/>
      </w:r>
    </w:p>
    <w:p w14:paraId="041B64E6" w14:textId="77777777" w:rsidR="00062898" w:rsidRDefault="00062898"/>
  </w:endnote>
  <w:endnote w:type="continuationSeparator" w:id="0">
    <w:p w14:paraId="0A5562AB" w14:textId="77777777" w:rsidR="00062898" w:rsidRDefault="00062898">
      <w:r>
        <w:continuationSeparator/>
      </w:r>
    </w:p>
    <w:p w14:paraId="08B6EA01" w14:textId="77777777" w:rsidR="00062898" w:rsidRDefault="00062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DIN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BDF5" w14:textId="046B3E79" w:rsidR="00C448A2" w:rsidRPr="00581136" w:rsidRDefault="00C448A2" w:rsidP="005A79E5">
    <w:pPr>
      <w:pStyle w:val="Footer"/>
      <w:pBdr>
        <w:bottom w:val="single" w:sz="4" w:space="1" w:color="auto"/>
      </w:pBdr>
      <w:tabs>
        <w:tab w:val="right" w:pos="9639"/>
      </w:tabs>
      <w:rPr>
        <w:b/>
      </w:rPr>
    </w:pPr>
    <w:r>
      <w:rPr>
        <w:b/>
      </w:rPr>
      <w:t>Released</w:t>
    </w:r>
    <w:r w:rsidRPr="001F7C66">
      <w:rPr>
        <w:b/>
      </w:rPr>
      <w:t xml:space="preserve"> 2020</w:t>
    </w:r>
    <w:r w:rsidRPr="00581136">
      <w:rPr>
        <w:b/>
      </w:rPr>
      <w:tab/>
      <w:t>health.govt.nz</w:t>
    </w:r>
  </w:p>
  <w:p w14:paraId="052148C2" w14:textId="77777777" w:rsidR="00C448A2" w:rsidRPr="005A79E5" w:rsidRDefault="00C448A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BFB5" w14:textId="77777777" w:rsidR="00C448A2" w:rsidRDefault="00C448A2"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A8C" w14:textId="77777777" w:rsidR="00C448A2" w:rsidRDefault="00C448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708"/>
    </w:tblGrid>
    <w:tr w:rsidR="00F2467F" w14:paraId="51C5DFF1" w14:textId="77777777" w:rsidTr="00A3117F">
      <w:trPr>
        <w:cantSplit/>
      </w:trPr>
      <w:tc>
        <w:tcPr>
          <w:tcW w:w="7938" w:type="dxa"/>
          <w:vAlign w:val="center"/>
        </w:tcPr>
        <w:p w14:paraId="2FA92486" w14:textId="77777777" w:rsidR="00F2467F" w:rsidRDefault="00F2467F" w:rsidP="00F2467F">
          <w:pPr>
            <w:pStyle w:val="RectoFooter"/>
          </w:pPr>
          <w:r w:rsidRPr="00C448A2">
            <w:t>Summary of Submissions</w:t>
          </w:r>
          <w:r>
            <w:t xml:space="preserve"> - </w:t>
          </w:r>
          <w:r w:rsidRPr="00C448A2">
            <w:t>Consultation on the Draft Ethical Framework</w:t>
          </w:r>
        </w:p>
        <w:p w14:paraId="06EAEA19" w14:textId="77777777" w:rsidR="00F2467F" w:rsidRDefault="00F2467F" w:rsidP="00F2467F">
          <w:pPr>
            <w:pStyle w:val="RectoFooter"/>
          </w:pPr>
          <w:r w:rsidRPr="00C448A2">
            <w:t xml:space="preserve"> for Resource Allocation in Times of Scarcity</w:t>
          </w:r>
          <w:r>
            <w:t xml:space="preserve"> </w:t>
          </w:r>
        </w:p>
      </w:tc>
      <w:tc>
        <w:tcPr>
          <w:tcW w:w="708" w:type="dxa"/>
          <w:vAlign w:val="center"/>
        </w:tcPr>
        <w:p w14:paraId="7D236425" w14:textId="77777777" w:rsidR="00F2467F" w:rsidRPr="00931466" w:rsidRDefault="00F2467F" w:rsidP="00F2467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63594367" w14:textId="77777777" w:rsidR="00C448A2" w:rsidRPr="00875F9E" w:rsidRDefault="00C448A2"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2467F" w14:paraId="58D18B6E" w14:textId="77777777" w:rsidTr="00A3117F">
      <w:trPr>
        <w:cantSplit/>
      </w:trPr>
      <w:tc>
        <w:tcPr>
          <w:tcW w:w="709" w:type="dxa"/>
          <w:vAlign w:val="center"/>
        </w:tcPr>
        <w:p w14:paraId="182A7F55" w14:textId="77777777" w:rsidR="00F2467F" w:rsidRPr="00931466" w:rsidRDefault="00F2467F" w:rsidP="00F2467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31638E7C" w14:textId="77777777" w:rsidR="00F2467F" w:rsidRDefault="00F2467F" w:rsidP="00F2467F">
          <w:pPr>
            <w:pStyle w:val="RectoFooter"/>
            <w:jc w:val="left"/>
          </w:pPr>
          <w:r w:rsidRPr="00C448A2">
            <w:t>Summary of Submissions</w:t>
          </w:r>
          <w:r>
            <w:t xml:space="preserve"> - </w:t>
          </w:r>
          <w:r w:rsidRPr="00C448A2">
            <w:t>Consultation on the Draft Ethical Framework</w:t>
          </w:r>
        </w:p>
        <w:p w14:paraId="535E0423" w14:textId="77777777" w:rsidR="00F2467F" w:rsidRDefault="00F2467F" w:rsidP="00F2467F">
          <w:pPr>
            <w:pStyle w:val="RectoFooter"/>
            <w:jc w:val="left"/>
          </w:pPr>
          <w:r w:rsidRPr="00C448A2">
            <w:t>for Resource Allocation in Times of Scarcity</w:t>
          </w:r>
        </w:p>
      </w:tc>
    </w:tr>
  </w:tbl>
  <w:p w14:paraId="5F9111FC" w14:textId="77777777" w:rsidR="00C448A2" w:rsidRPr="00581EB8" w:rsidRDefault="00C448A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708"/>
    </w:tblGrid>
    <w:tr w:rsidR="00F2467F" w14:paraId="2B9E088C" w14:textId="77777777" w:rsidTr="00A3117F">
      <w:trPr>
        <w:cantSplit/>
      </w:trPr>
      <w:tc>
        <w:tcPr>
          <w:tcW w:w="7938" w:type="dxa"/>
          <w:vAlign w:val="center"/>
        </w:tcPr>
        <w:p w14:paraId="6BE8FB47" w14:textId="77777777" w:rsidR="00F2467F" w:rsidRDefault="00F2467F" w:rsidP="00F2467F">
          <w:pPr>
            <w:pStyle w:val="RectoFooter"/>
          </w:pPr>
          <w:r w:rsidRPr="00C448A2">
            <w:t>Summary of Submissions</w:t>
          </w:r>
          <w:r>
            <w:t xml:space="preserve"> - </w:t>
          </w:r>
          <w:r w:rsidRPr="00C448A2">
            <w:t>Consultation on the Draft Ethical Framework</w:t>
          </w:r>
        </w:p>
        <w:p w14:paraId="63FCC641" w14:textId="77777777" w:rsidR="00F2467F" w:rsidRDefault="00F2467F" w:rsidP="00F2467F">
          <w:pPr>
            <w:pStyle w:val="RectoFooter"/>
          </w:pPr>
          <w:r w:rsidRPr="00C448A2">
            <w:t xml:space="preserve"> for Resource Allocation in Times of Scarcity</w:t>
          </w:r>
          <w:r>
            <w:t xml:space="preserve"> </w:t>
          </w:r>
        </w:p>
      </w:tc>
      <w:tc>
        <w:tcPr>
          <w:tcW w:w="708" w:type="dxa"/>
          <w:vAlign w:val="center"/>
        </w:tcPr>
        <w:p w14:paraId="734EA85E" w14:textId="77777777" w:rsidR="00F2467F" w:rsidRPr="00931466" w:rsidRDefault="00F2467F" w:rsidP="00F2467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599E2520" w14:textId="77777777" w:rsidR="00C448A2" w:rsidRPr="00C448A2" w:rsidRDefault="00C448A2">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39BB" w14:textId="4942CD87" w:rsidR="00C448A2" w:rsidRDefault="00C448A2" w:rsidP="00C448A2">
    <w:pPr>
      <w:pStyle w:val="Footer"/>
      <w:jc w:val="right"/>
      <w:rPr>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2467F" w14:paraId="3EB39E8C" w14:textId="77777777" w:rsidTr="00A3117F">
      <w:trPr>
        <w:cantSplit/>
      </w:trPr>
      <w:tc>
        <w:tcPr>
          <w:tcW w:w="709" w:type="dxa"/>
          <w:vAlign w:val="center"/>
        </w:tcPr>
        <w:p w14:paraId="712BEF9F" w14:textId="77777777" w:rsidR="00F2467F" w:rsidRPr="00931466" w:rsidRDefault="00F2467F" w:rsidP="00F2467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3D949CC6" w14:textId="77777777" w:rsidR="00F2467F" w:rsidRDefault="00F2467F" w:rsidP="00F2467F">
          <w:pPr>
            <w:pStyle w:val="RectoFooter"/>
            <w:jc w:val="left"/>
          </w:pPr>
          <w:r w:rsidRPr="00C448A2">
            <w:t>Summary of Submissions</w:t>
          </w:r>
          <w:r>
            <w:t xml:space="preserve"> - </w:t>
          </w:r>
          <w:r w:rsidRPr="00C448A2">
            <w:t>Consultation on the Draft Ethical Framework</w:t>
          </w:r>
        </w:p>
        <w:p w14:paraId="094F3512" w14:textId="77777777" w:rsidR="00F2467F" w:rsidRDefault="00F2467F" w:rsidP="00F2467F">
          <w:pPr>
            <w:pStyle w:val="RectoFooter"/>
            <w:jc w:val="left"/>
          </w:pPr>
          <w:r w:rsidRPr="00C448A2">
            <w:t>for Resource Allocation in Times of Scarcity</w:t>
          </w:r>
        </w:p>
      </w:tc>
    </w:tr>
  </w:tbl>
  <w:p w14:paraId="08E2A289" w14:textId="26E5643A" w:rsidR="00C448A2" w:rsidRDefault="00C448A2" w:rsidP="00C448A2">
    <w:pPr>
      <w:pStyle w:val="Footer"/>
      <w:jc w:val="right"/>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6715" w14:textId="77777777" w:rsidR="00C448A2" w:rsidRDefault="00C4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6830" w14:textId="77777777" w:rsidR="00062898" w:rsidRPr="00A26E6B" w:rsidRDefault="00062898" w:rsidP="00A26E6B"/>
  </w:footnote>
  <w:footnote w:type="continuationSeparator" w:id="0">
    <w:p w14:paraId="5EE0E882" w14:textId="77777777" w:rsidR="00062898" w:rsidRDefault="00062898">
      <w:r>
        <w:continuationSeparator/>
      </w:r>
    </w:p>
    <w:p w14:paraId="7544A30F" w14:textId="77777777" w:rsidR="00062898" w:rsidRDefault="00062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C448A2" w14:paraId="2250C520" w14:textId="77777777" w:rsidTr="005A79E5">
      <w:trPr>
        <w:cantSplit/>
      </w:trPr>
      <w:tc>
        <w:tcPr>
          <w:tcW w:w="5210" w:type="dxa"/>
        </w:tcPr>
        <w:p w14:paraId="213C30F3" w14:textId="77777777" w:rsidR="00C448A2" w:rsidRDefault="00C448A2" w:rsidP="00802C89">
          <w:pPr>
            <w:pStyle w:val="Header"/>
          </w:pPr>
          <w:r>
            <w:rPr>
              <w:noProof/>
              <w:lang w:eastAsia="en-NZ"/>
            </w:rPr>
            <w:drawing>
              <wp:inline distT="0" distB="0" distL="0" distR="0" wp14:anchorId="59D8332A" wp14:editId="562FC858">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D2EAA87" w14:textId="77777777" w:rsidR="00C448A2" w:rsidRDefault="00C448A2" w:rsidP="00802C89">
          <w:pPr>
            <w:pStyle w:val="Header"/>
            <w:jc w:val="right"/>
          </w:pPr>
          <w:r>
            <w:rPr>
              <w:noProof/>
              <w:lang w:eastAsia="en-NZ"/>
            </w:rPr>
            <w:drawing>
              <wp:inline distT="0" distB="0" distL="0" distR="0" wp14:anchorId="0225BC01" wp14:editId="7CAA1248">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FA72C6D" w14:textId="77777777" w:rsidR="00C448A2" w:rsidRDefault="00C44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C448A2" w14:paraId="20E51A84" w14:textId="77777777" w:rsidTr="005A79E5">
      <w:trPr>
        <w:cantSplit/>
      </w:trPr>
      <w:tc>
        <w:tcPr>
          <w:tcW w:w="5210" w:type="dxa"/>
        </w:tcPr>
        <w:p w14:paraId="71ABB9FF" w14:textId="5338BCB9" w:rsidR="00C448A2" w:rsidRDefault="00C448A2" w:rsidP="00802C89">
          <w:pPr>
            <w:pStyle w:val="Header"/>
          </w:pPr>
        </w:p>
      </w:tc>
      <w:tc>
        <w:tcPr>
          <w:tcW w:w="4429" w:type="dxa"/>
          <w:vAlign w:val="center"/>
        </w:tcPr>
        <w:p w14:paraId="640B4F11" w14:textId="42ACF932" w:rsidR="00C448A2" w:rsidRDefault="00C448A2" w:rsidP="00802C89">
          <w:pPr>
            <w:pStyle w:val="Header"/>
            <w:jc w:val="right"/>
          </w:pPr>
        </w:p>
      </w:tc>
    </w:tr>
  </w:tbl>
  <w:p w14:paraId="1036FD8B" w14:textId="77777777" w:rsidR="00C448A2" w:rsidRDefault="00C44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E85F" w14:textId="4BEB0D78" w:rsidR="00C448A2" w:rsidRDefault="00C448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9A98" w14:textId="137081D9" w:rsidR="00C448A2" w:rsidRDefault="00C448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5EF6" w14:textId="6CE5EE12" w:rsidR="00C448A2" w:rsidRDefault="00C44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0B29469D"/>
    <w:multiLevelType w:val="hybridMultilevel"/>
    <w:tmpl w:val="2D9C1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628025B"/>
    <w:multiLevelType w:val="hybridMultilevel"/>
    <w:tmpl w:val="2D9C1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3"/>
  </w:num>
  <w:num w:numId="2">
    <w:abstractNumId w:val="8"/>
  </w:num>
  <w:num w:numId="3">
    <w:abstractNumId w:val="9"/>
  </w:num>
  <w:num w:numId="4">
    <w:abstractNumId w:val="5"/>
  </w:num>
  <w:num w:numId="5">
    <w:abstractNumId w:val="7"/>
  </w:num>
  <w:num w:numId="6">
    <w:abstractNumId w:val="4"/>
  </w:num>
  <w:num w:numId="7">
    <w:abstractNumId w:val="12"/>
  </w:num>
  <w:num w:numId="8">
    <w:abstractNumId w:val="6"/>
  </w:num>
  <w:num w:numId="9">
    <w:abstractNumId w:val="3"/>
  </w:num>
  <w:num w:numId="10">
    <w:abstractNumId w:val="2"/>
  </w:num>
  <w:num w:numId="11">
    <w:abstractNumId w:val="1"/>
  </w:num>
  <w:num w:numId="12">
    <w:abstractNumId w:val="0"/>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9DC"/>
    <w:rsid w:val="00055A92"/>
    <w:rsid w:val="000563C9"/>
    <w:rsid w:val="000569D8"/>
    <w:rsid w:val="00061D4F"/>
    <w:rsid w:val="0006228D"/>
    <w:rsid w:val="00062330"/>
    <w:rsid w:val="00062898"/>
    <w:rsid w:val="00063B33"/>
    <w:rsid w:val="00063FC4"/>
    <w:rsid w:val="000706E2"/>
    <w:rsid w:val="00071EBA"/>
    <w:rsid w:val="00072BD6"/>
    <w:rsid w:val="00074549"/>
    <w:rsid w:val="00075B78"/>
    <w:rsid w:val="00082CD6"/>
    <w:rsid w:val="0008437D"/>
    <w:rsid w:val="00085AFE"/>
    <w:rsid w:val="00092F63"/>
    <w:rsid w:val="00094800"/>
    <w:rsid w:val="000A4A40"/>
    <w:rsid w:val="000B0730"/>
    <w:rsid w:val="000B1D4D"/>
    <w:rsid w:val="000B3F43"/>
    <w:rsid w:val="000C3AE5"/>
    <w:rsid w:val="000D08BE"/>
    <w:rsid w:val="000D19F4"/>
    <w:rsid w:val="000D489F"/>
    <w:rsid w:val="000D58DD"/>
    <w:rsid w:val="000D5A68"/>
    <w:rsid w:val="000E00C3"/>
    <w:rsid w:val="000E4E74"/>
    <w:rsid w:val="000E7D06"/>
    <w:rsid w:val="000F2AE2"/>
    <w:rsid w:val="000F2BFF"/>
    <w:rsid w:val="000F4CCB"/>
    <w:rsid w:val="00102063"/>
    <w:rsid w:val="00102D25"/>
    <w:rsid w:val="00103973"/>
    <w:rsid w:val="0010541C"/>
    <w:rsid w:val="00106F93"/>
    <w:rsid w:val="001112A5"/>
    <w:rsid w:val="00111D50"/>
    <w:rsid w:val="001138AD"/>
    <w:rsid w:val="00113B8E"/>
    <w:rsid w:val="0011564B"/>
    <w:rsid w:val="00116F98"/>
    <w:rsid w:val="00117DC3"/>
    <w:rsid w:val="0012053C"/>
    <w:rsid w:val="001218C8"/>
    <w:rsid w:val="00121956"/>
    <w:rsid w:val="00122363"/>
    <w:rsid w:val="00123D75"/>
    <w:rsid w:val="00124768"/>
    <w:rsid w:val="001249F6"/>
    <w:rsid w:val="001300AC"/>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2F17"/>
    <w:rsid w:val="0016468A"/>
    <w:rsid w:val="00167DA3"/>
    <w:rsid w:val="00170833"/>
    <w:rsid w:val="00174A67"/>
    <w:rsid w:val="00175364"/>
    <w:rsid w:val="00175B47"/>
    <w:rsid w:val="0017606F"/>
    <w:rsid w:val="0018662D"/>
    <w:rsid w:val="00194F3D"/>
    <w:rsid w:val="00195744"/>
    <w:rsid w:val="001964F5"/>
    <w:rsid w:val="00197427"/>
    <w:rsid w:val="001A21B4"/>
    <w:rsid w:val="001A5CF5"/>
    <w:rsid w:val="001A5D55"/>
    <w:rsid w:val="001A77E4"/>
    <w:rsid w:val="001B0E6D"/>
    <w:rsid w:val="001B39D2"/>
    <w:rsid w:val="001B4BF8"/>
    <w:rsid w:val="001C4326"/>
    <w:rsid w:val="001C4912"/>
    <w:rsid w:val="001C7F1A"/>
    <w:rsid w:val="001D3541"/>
    <w:rsid w:val="001D3E4E"/>
    <w:rsid w:val="001D412B"/>
    <w:rsid w:val="001E254A"/>
    <w:rsid w:val="001E3C12"/>
    <w:rsid w:val="001E7386"/>
    <w:rsid w:val="001F03AA"/>
    <w:rsid w:val="001F45A7"/>
    <w:rsid w:val="001F67E4"/>
    <w:rsid w:val="001F7C66"/>
    <w:rsid w:val="00201A01"/>
    <w:rsid w:val="00204230"/>
    <w:rsid w:val="00205510"/>
    <w:rsid w:val="00205692"/>
    <w:rsid w:val="0020754B"/>
    <w:rsid w:val="002104D3"/>
    <w:rsid w:val="00213A33"/>
    <w:rsid w:val="0021763B"/>
    <w:rsid w:val="002222C7"/>
    <w:rsid w:val="00230EF3"/>
    <w:rsid w:val="00235455"/>
    <w:rsid w:val="0024145F"/>
    <w:rsid w:val="00244088"/>
    <w:rsid w:val="002469F7"/>
    <w:rsid w:val="00246DB1"/>
    <w:rsid w:val="002474F6"/>
    <w:rsid w:val="002476B5"/>
    <w:rsid w:val="00250BDA"/>
    <w:rsid w:val="002519C7"/>
    <w:rsid w:val="002520CC"/>
    <w:rsid w:val="00253ECF"/>
    <w:rsid w:val="002546A1"/>
    <w:rsid w:val="002564DB"/>
    <w:rsid w:val="00262791"/>
    <w:rsid w:val="002628F4"/>
    <w:rsid w:val="002633EA"/>
    <w:rsid w:val="002663EF"/>
    <w:rsid w:val="00267324"/>
    <w:rsid w:val="002711B8"/>
    <w:rsid w:val="00275D08"/>
    <w:rsid w:val="002841FA"/>
    <w:rsid w:val="002858E3"/>
    <w:rsid w:val="002874F7"/>
    <w:rsid w:val="00287A30"/>
    <w:rsid w:val="00287E03"/>
    <w:rsid w:val="00291658"/>
    <w:rsid w:val="0029190A"/>
    <w:rsid w:val="00292C5A"/>
    <w:rsid w:val="00295241"/>
    <w:rsid w:val="002A24C4"/>
    <w:rsid w:val="002A26D9"/>
    <w:rsid w:val="002A4000"/>
    <w:rsid w:val="002A4DFC"/>
    <w:rsid w:val="002A6A05"/>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B52"/>
    <w:rsid w:val="002F4685"/>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6D5"/>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55787"/>
    <w:rsid w:val="003606F8"/>
    <w:rsid w:val="003648EF"/>
    <w:rsid w:val="00366395"/>
    <w:rsid w:val="003673E6"/>
    <w:rsid w:val="00375344"/>
    <w:rsid w:val="00377264"/>
    <w:rsid w:val="003779D2"/>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6E9B"/>
    <w:rsid w:val="003C0D0C"/>
    <w:rsid w:val="003C76D4"/>
    <w:rsid w:val="003D0D54"/>
    <w:rsid w:val="003D137D"/>
    <w:rsid w:val="003D2CC5"/>
    <w:rsid w:val="003E04C1"/>
    <w:rsid w:val="003E0887"/>
    <w:rsid w:val="003E232E"/>
    <w:rsid w:val="003E3147"/>
    <w:rsid w:val="003E7C46"/>
    <w:rsid w:val="003F2106"/>
    <w:rsid w:val="003F228E"/>
    <w:rsid w:val="003F36F7"/>
    <w:rsid w:val="003F52A7"/>
    <w:rsid w:val="003F7013"/>
    <w:rsid w:val="0040240C"/>
    <w:rsid w:val="00402CCF"/>
    <w:rsid w:val="004061F4"/>
    <w:rsid w:val="00413021"/>
    <w:rsid w:val="004159BE"/>
    <w:rsid w:val="004201FC"/>
    <w:rsid w:val="00420E4E"/>
    <w:rsid w:val="00422937"/>
    <w:rsid w:val="004301C6"/>
    <w:rsid w:val="00430545"/>
    <w:rsid w:val="00434299"/>
    <w:rsid w:val="0043478F"/>
    <w:rsid w:val="004353C3"/>
    <w:rsid w:val="004357B4"/>
    <w:rsid w:val="0043602B"/>
    <w:rsid w:val="00440BE0"/>
    <w:rsid w:val="00442C1C"/>
    <w:rsid w:val="0044357E"/>
    <w:rsid w:val="0044584B"/>
    <w:rsid w:val="00447CB7"/>
    <w:rsid w:val="00450D78"/>
    <w:rsid w:val="004516B7"/>
    <w:rsid w:val="004534C4"/>
    <w:rsid w:val="00453C94"/>
    <w:rsid w:val="00455CC9"/>
    <w:rsid w:val="00460826"/>
    <w:rsid w:val="00460EA7"/>
    <w:rsid w:val="0046195B"/>
    <w:rsid w:val="0046362D"/>
    <w:rsid w:val="00463669"/>
    <w:rsid w:val="0046395F"/>
    <w:rsid w:val="0046596D"/>
    <w:rsid w:val="004766FB"/>
    <w:rsid w:val="004805AD"/>
    <w:rsid w:val="00481F58"/>
    <w:rsid w:val="004852C5"/>
    <w:rsid w:val="00487C04"/>
    <w:rsid w:val="004907E1"/>
    <w:rsid w:val="00493B07"/>
    <w:rsid w:val="00496336"/>
    <w:rsid w:val="00497F3D"/>
    <w:rsid w:val="004A035B"/>
    <w:rsid w:val="004A2108"/>
    <w:rsid w:val="004A38D7"/>
    <w:rsid w:val="004A4995"/>
    <w:rsid w:val="004A778C"/>
    <w:rsid w:val="004A78C9"/>
    <w:rsid w:val="004B11E9"/>
    <w:rsid w:val="004B48C7"/>
    <w:rsid w:val="004B49A6"/>
    <w:rsid w:val="004C2E6A"/>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51C2"/>
    <w:rsid w:val="00523187"/>
    <w:rsid w:val="005237A7"/>
    <w:rsid w:val="00524724"/>
    <w:rsid w:val="00526CA7"/>
    <w:rsid w:val="00526FB1"/>
    <w:rsid w:val="0053199F"/>
    <w:rsid w:val="00533B90"/>
    <w:rsid w:val="00534B7D"/>
    <w:rsid w:val="0054075D"/>
    <w:rsid w:val="005410F8"/>
    <w:rsid w:val="005411F6"/>
    <w:rsid w:val="0054173E"/>
    <w:rsid w:val="005448EC"/>
    <w:rsid w:val="00545963"/>
    <w:rsid w:val="00550256"/>
    <w:rsid w:val="00553165"/>
    <w:rsid w:val="00553958"/>
    <w:rsid w:val="00556BB7"/>
    <w:rsid w:val="0055763D"/>
    <w:rsid w:val="00561516"/>
    <w:rsid w:val="005621F2"/>
    <w:rsid w:val="0056445E"/>
    <w:rsid w:val="00567B58"/>
    <w:rsid w:val="00571223"/>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43A9"/>
    <w:rsid w:val="005D5677"/>
    <w:rsid w:val="005D6B68"/>
    <w:rsid w:val="005D7990"/>
    <w:rsid w:val="005E226E"/>
    <w:rsid w:val="005E2636"/>
    <w:rsid w:val="005E6454"/>
    <w:rsid w:val="005F5E6A"/>
    <w:rsid w:val="006015D7"/>
    <w:rsid w:val="00601B21"/>
    <w:rsid w:val="006041F0"/>
    <w:rsid w:val="00605C6D"/>
    <w:rsid w:val="006100EF"/>
    <w:rsid w:val="006120CA"/>
    <w:rsid w:val="00612A82"/>
    <w:rsid w:val="00615DC1"/>
    <w:rsid w:val="0062333C"/>
    <w:rsid w:val="00624174"/>
    <w:rsid w:val="00626CF8"/>
    <w:rsid w:val="00630859"/>
    <w:rsid w:val="006314AF"/>
    <w:rsid w:val="00632D25"/>
    <w:rsid w:val="006334FB"/>
    <w:rsid w:val="0063378D"/>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6382"/>
    <w:rsid w:val="006C69BF"/>
    <w:rsid w:val="006C78EB"/>
    <w:rsid w:val="006D0568"/>
    <w:rsid w:val="006D0B8C"/>
    <w:rsid w:val="006D15E5"/>
    <w:rsid w:val="006D1660"/>
    <w:rsid w:val="006D2932"/>
    <w:rsid w:val="006D38A8"/>
    <w:rsid w:val="006D3A45"/>
    <w:rsid w:val="006D4A8A"/>
    <w:rsid w:val="006D63E5"/>
    <w:rsid w:val="006E3225"/>
    <w:rsid w:val="006E3911"/>
    <w:rsid w:val="006E3DAB"/>
    <w:rsid w:val="006E439F"/>
    <w:rsid w:val="006F0028"/>
    <w:rsid w:val="006F1B67"/>
    <w:rsid w:val="006F3909"/>
    <w:rsid w:val="006F4BD3"/>
    <w:rsid w:val="006F4D9C"/>
    <w:rsid w:val="006F7602"/>
    <w:rsid w:val="0070091D"/>
    <w:rsid w:val="00702854"/>
    <w:rsid w:val="00704388"/>
    <w:rsid w:val="00704CD8"/>
    <w:rsid w:val="007131F5"/>
    <w:rsid w:val="0071666E"/>
    <w:rsid w:val="00717128"/>
    <w:rsid w:val="0071720F"/>
    <w:rsid w:val="0071741C"/>
    <w:rsid w:val="00717D25"/>
    <w:rsid w:val="00723B0B"/>
    <w:rsid w:val="007275F4"/>
    <w:rsid w:val="007357DA"/>
    <w:rsid w:val="007363E4"/>
    <w:rsid w:val="007429DE"/>
    <w:rsid w:val="00742B90"/>
    <w:rsid w:val="00743CB9"/>
    <w:rsid w:val="0074434D"/>
    <w:rsid w:val="00746236"/>
    <w:rsid w:val="00757BA4"/>
    <w:rsid w:val="00757F02"/>
    <w:rsid w:val="007601EE"/>
    <w:rsid w:val="007605B8"/>
    <w:rsid w:val="007614C6"/>
    <w:rsid w:val="00765DAB"/>
    <w:rsid w:val="00766877"/>
    <w:rsid w:val="00771B1E"/>
    <w:rsid w:val="00773C95"/>
    <w:rsid w:val="00774650"/>
    <w:rsid w:val="007813B7"/>
    <w:rsid w:val="0078171E"/>
    <w:rsid w:val="0078481B"/>
    <w:rsid w:val="0078658E"/>
    <w:rsid w:val="00786613"/>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20321"/>
    <w:rsid w:val="00822F2C"/>
    <w:rsid w:val="00823DEE"/>
    <w:rsid w:val="008305E8"/>
    <w:rsid w:val="00832C28"/>
    <w:rsid w:val="008338C4"/>
    <w:rsid w:val="00836165"/>
    <w:rsid w:val="00841F8C"/>
    <w:rsid w:val="0084640C"/>
    <w:rsid w:val="00856088"/>
    <w:rsid w:val="00860826"/>
    <w:rsid w:val="00860CC3"/>
    <w:rsid w:val="00860E21"/>
    <w:rsid w:val="0086301C"/>
    <w:rsid w:val="00863117"/>
    <w:rsid w:val="008637AD"/>
    <w:rsid w:val="0086388B"/>
    <w:rsid w:val="00863A70"/>
    <w:rsid w:val="008642E5"/>
    <w:rsid w:val="00870A36"/>
    <w:rsid w:val="00872D93"/>
    <w:rsid w:val="00874825"/>
    <w:rsid w:val="00875F9E"/>
    <w:rsid w:val="00880470"/>
    <w:rsid w:val="00880ADD"/>
    <w:rsid w:val="00880D94"/>
    <w:rsid w:val="008859FE"/>
    <w:rsid w:val="00886F64"/>
    <w:rsid w:val="008904C0"/>
    <w:rsid w:val="008924DE"/>
    <w:rsid w:val="00895070"/>
    <w:rsid w:val="0089571B"/>
    <w:rsid w:val="008A3755"/>
    <w:rsid w:val="008A3EFE"/>
    <w:rsid w:val="008B19DC"/>
    <w:rsid w:val="008B264F"/>
    <w:rsid w:val="008B6F83"/>
    <w:rsid w:val="008B7E47"/>
    <w:rsid w:val="008B7FD8"/>
    <w:rsid w:val="008C199B"/>
    <w:rsid w:val="008C2973"/>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1216"/>
    <w:rsid w:val="009216CC"/>
    <w:rsid w:val="00926083"/>
    <w:rsid w:val="00930D08"/>
    <w:rsid w:val="00931466"/>
    <w:rsid w:val="00932D69"/>
    <w:rsid w:val="00935589"/>
    <w:rsid w:val="009409AC"/>
    <w:rsid w:val="00942644"/>
    <w:rsid w:val="009438EC"/>
    <w:rsid w:val="00944647"/>
    <w:rsid w:val="00945D20"/>
    <w:rsid w:val="0095565C"/>
    <w:rsid w:val="00956935"/>
    <w:rsid w:val="009603B8"/>
    <w:rsid w:val="00966826"/>
    <w:rsid w:val="00966F9A"/>
    <w:rsid w:val="009734C0"/>
    <w:rsid w:val="00977B8A"/>
    <w:rsid w:val="0098113B"/>
    <w:rsid w:val="009822EB"/>
    <w:rsid w:val="0098253E"/>
    <w:rsid w:val="00982971"/>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678A"/>
    <w:rsid w:val="009B76F6"/>
    <w:rsid w:val="009C151C"/>
    <w:rsid w:val="009C2F0B"/>
    <w:rsid w:val="009C2F25"/>
    <w:rsid w:val="009C440A"/>
    <w:rsid w:val="009C4EFB"/>
    <w:rsid w:val="009C69C9"/>
    <w:rsid w:val="009C7224"/>
    <w:rsid w:val="009D5125"/>
    <w:rsid w:val="009D60B8"/>
    <w:rsid w:val="009D7D4B"/>
    <w:rsid w:val="009E36ED"/>
    <w:rsid w:val="009E3C8C"/>
    <w:rsid w:val="009E6B77"/>
    <w:rsid w:val="009F0D39"/>
    <w:rsid w:val="009F2204"/>
    <w:rsid w:val="009F460A"/>
    <w:rsid w:val="009F7A47"/>
    <w:rsid w:val="00A01143"/>
    <w:rsid w:val="00A03868"/>
    <w:rsid w:val="00A043FB"/>
    <w:rsid w:val="00A06070"/>
    <w:rsid w:val="00A0654A"/>
    <w:rsid w:val="00A06BE4"/>
    <w:rsid w:val="00A0729C"/>
    <w:rsid w:val="00A07779"/>
    <w:rsid w:val="00A106F0"/>
    <w:rsid w:val="00A1166A"/>
    <w:rsid w:val="00A13D88"/>
    <w:rsid w:val="00A20B2E"/>
    <w:rsid w:val="00A24F33"/>
    <w:rsid w:val="00A25069"/>
    <w:rsid w:val="00A26E6B"/>
    <w:rsid w:val="00A3068F"/>
    <w:rsid w:val="00A3145B"/>
    <w:rsid w:val="00A3172D"/>
    <w:rsid w:val="00A31A11"/>
    <w:rsid w:val="00A339D0"/>
    <w:rsid w:val="00A34DEA"/>
    <w:rsid w:val="00A34EA2"/>
    <w:rsid w:val="00A359E9"/>
    <w:rsid w:val="00A41002"/>
    <w:rsid w:val="00A4201A"/>
    <w:rsid w:val="00A44E9D"/>
    <w:rsid w:val="00A463E6"/>
    <w:rsid w:val="00A46E6F"/>
    <w:rsid w:val="00A52B71"/>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E9D"/>
    <w:rsid w:val="00A87C05"/>
    <w:rsid w:val="00A9169D"/>
    <w:rsid w:val="00A935E5"/>
    <w:rsid w:val="00AA240C"/>
    <w:rsid w:val="00AB5E0D"/>
    <w:rsid w:val="00AB6C23"/>
    <w:rsid w:val="00AC08C2"/>
    <w:rsid w:val="00AC101C"/>
    <w:rsid w:val="00AC355A"/>
    <w:rsid w:val="00AC5B63"/>
    <w:rsid w:val="00AC6476"/>
    <w:rsid w:val="00AD2E1F"/>
    <w:rsid w:val="00AD46DE"/>
    <w:rsid w:val="00AD4CF1"/>
    <w:rsid w:val="00AD5116"/>
    <w:rsid w:val="00AD5988"/>
    <w:rsid w:val="00AE228B"/>
    <w:rsid w:val="00AE5EE3"/>
    <w:rsid w:val="00AF7800"/>
    <w:rsid w:val="00B00CF5"/>
    <w:rsid w:val="00B072E0"/>
    <w:rsid w:val="00B1007E"/>
    <w:rsid w:val="00B10E4D"/>
    <w:rsid w:val="00B17083"/>
    <w:rsid w:val="00B20E1F"/>
    <w:rsid w:val="00B22104"/>
    <w:rsid w:val="00B253F6"/>
    <w:rsid w:val="00B254C1"/>
    <w:rsid w:val="00B26675"/>
    <w:rsid w:val="00B305DB"/>
    <w:rsid w:val="00B332F8"/>
    <w:rsid w:val="00B3492B"/>
    <w:rsid w:val="00B40E12"/>
    <w:rsid w:val="00B4646F"/>
    <w:rsid w:val="00B52BB3"/>
    <w:rsid w:val="00B55C7D"/>
    <w:rsid w:val="00B56A48"/>
    <w:rsid w:val="00B56B5D"/>
    <w:rsid w:val="00B571CF"/>
    <w:rsid w:val="00B577BD"/>
    <w:rsid w:val="00B63038"/>
    <w:rsid w:val="00B63450"/>
    <w:rsid w:val="00B64BD8"/>
    <w:rsid w:val="00B701D1"/>
    <w:rsid w:val="00B71F7F"/>
    <w:rsid w:val="00B73AF2"/>
    <w:rsid w:val="00B7551A"/>
    <w:rsid w:val="00B76F14"/>
    <w:rsid w:val="00B773F1"/>
    <w:rsid w:val="00B85285"/>
    <w:rsid w:val="00B86391"/>
    <w:rsid w:val="00B86AB1"/>
    <w:rsid w:val="00B919D2"/>
    <w:rsid w:val="00B921DE"/>
    <w:rsid w:val="00BA2BF7"/>
    <w:rsid w:val="00BB0340"/>
    <w:rsid w:val="00BB2A06"/>
    <w:rsid w:val="00BB2CBB"/>
    <w:rsid w:val="00BB2DA6"/>
    <w:rsid w:val="00BB4198"/>
    <w:rsid w:val="00BC03EE"/>
    <w:rsid w:val="00BC1F88"/>
    <w:rsid w:val="00BC370C"/>
    <w:rsid w:val="00BC59F1"/>
    <w:rsid w:val="00BC7546"/>
    <w:rsid w:val="00BD50A8"/>
    <w:rsid w:val="00BE4309"/>
    <w:rsid w:val="00BE5267"/>
    <w:rsid w:val="00BE5742"/>
    <w:rsid w:val="00BE7E16"/>
    <w:rsid w:val="00BF3DE1"/>
    <w:rsid w:val="00BF4843"/>
    <w:rsid w:val="00BF489C"/>
    <w:rsid w:val="00BF5205"/>
    <w:rsid w:val="00C001E8"/>
    <w:rsid w:val="00C02294"/>
    <w:rsid w:val="00C05132"/>
    <w:rsid w:val="00C10E24"/>
    <w:rsid w:val="00C12508"/>
    <w:rsid w:val="00C20152"/>
    <w:rsid w:val="00C21B60"/>
    <w:rsid w:val="00C22EE4"/>
    <w:rsid w:val="00C23728"/>
    <w:rsid w:val="00C254BC"/>
    <w:rsid w:val="00C25F4C"/>
    <w:rsid w:val="00C26649"/>
    <w:rsid w:val="00C313A9"/>
    <w:rsid w:val="00C3260F"/>
    <w:rsid w:val="00C40142"/>
    <w:rsid w:val="00C42E71"/>
    <w:rsid w:val="00C441CF"/>
    <w:rsid w:val="00C448A2"/>
    <w:rsid w:val="00C45AA2"/>
    <w:rsid w:val="00C4792C"/>
    <w:rsid w:val="00C506D4"/>
    <w:rsid w:val="00C51823"/>
    <w:rsid w:val="00C52ABA"/>
    <w:rsid w:val="00C55BEF"/>
    <w:rsid w:val="00C57AE0"/>
    <w:rsid w:val="00C57B04"/>
    <w:rsid w:val="00C601AF"/>
    <w:rsid w:val="00C6163A"/>
    <w:rsid w:val="00C61A63"/>
    <w:rsid w:val="00C62B45"/>
    <w:rsid w:val="00C63B53"/>
    <w:rsid w:val="00C66296"/>
    <w:rsid w:val="00C7394D"/>
    <w:rsid w:val="00C74443"/>
    <w:rsid w:val="00C77282"/>
    <w:rsid w:val="00C77D1D"/>
    <w:rsid w:val="00C80B58"/>
    <w:rsid w:val="00C8154D"/>
    <w:rsid w:val="00C817F7"/>
    <w:rsid w:val="00C84DE5"/>
    <w:rsid w:val="00C86248"/>
    <w:rsid w:val="00C90B31"/>
    <w:rsid w:val="00C94CDC"/>
    <w:rsid w:val="00CA0D6F"/>
    <w:rsid w:val="00CA4C33"/>
    <w:rsid w:val="00CA6F4A"/>
    <w:rsid w:val="00CB17DA"/>
    <w:rsid w:val="00CB6427"/>
    <w:rsid w:val="00CC0CCA"/>
    <w:rsid w:val="00CC0FBE"/>
    <w:rsid w:val="00CC5266"/>
    <w:rsid w:val="00CD0215"/>
    <w:rsid w:val="00CD2119"/>
    <w:rsid w:val="00CD237A"/>
    <w:rsid w:val="00CD36AC"/>
    <w:rsid w:val="00CD4D45"/>
    <w:rsid w:val="00CE13A3"/>
    <w:rsid w:val="00CE36BC"/>
    <w:rsid w:val="00CE6C0A"/>
    <w:rsid w:val="00CF1747"/>
    <w:rsid w:val="00CF322B"/>
    <w:rsid w:val="00CF60ED"/>
    <w:rsid w:val="00CF7DDE"/>
    <w:rsid w:val="00D03E03"/>
    <w:rsid w:val="00D03EF7"/>
    <w:rsid w:val="00D05D74"/>
    <w:rsid w:val="00D13D02"/>
    <w:rsid w:val="00D15FDE"/>
    <w:rsid w:val="00D20C59"/>
    <w:rsid w:val="00D21307"/>
    <w:rsid w:val="00D23323"/>
    <w:rsid w:val="00D2392A"/>
    <w:rsid w:val="00D24964"/>
    <w:rsid w:val="00D25FFE"/>
    <w:rsid w:val="00D27C1D"/>
    <w:rsid w:val="00D30CDE"/>
    <w:rsid w:val="00D34DD0"/>
    <w:rsid w:val="00D35EEE"/>
    <w:rsid w:val="00D36714"/>
    <w:rsid w:val="00D42447"/>
    <w:rsid w:val="00D42589"/>
    <w:rsid w:val="00D4476F"/>
    <w:rsid w:val="00D50573"/>
    <w:rsid w:val="00D54D50"/>
    <w:rsid w:val="00D560B4"/>
    <w:rsid w:val="00D623EF"/>
    <w:rsid w:val="00D63878"/>
    <w:rsid w:val="00D662F8"/>
    <w:rsid w:val="00D66797"/>
    <w:rsid w:val="00D67113"/>
    <w:rsid w:val="00D7087C"/>
    <w:rsid w:val="00D70C3C"/>
    <w:rsid w:val="00D71DF7"/>
    <w:rsid w:val="00D724F3"/>
    <w:rsid w:val="00D72BE5"/>
    <w:rsid w:val="00D75C05"/>
    <w:rsid w:val="00D81462"/>
    <w:rsid w:val="00D81DCB"/>
    <w:rsid w:val="00D82F26"/>
    <w:rsid w:val="00D84795"/>
    <w:rsid w:val="00D847EB"/>
    <w:rsid w:val="00D863D0"/>
    <w:rsid w:val="00D86FB9"/>
    <w:rsid w:val="00D87C87"/>
    <w:rsid w:val="00D90BB4"/>
    <w:rsid w:val="00D90E07"/>
    <w:rsid w:val="00D932C2"/>
    <w:rsid w:val="00D9510C"/>
    <w:rsid w:val="00D97551"/>
    <w:rsid w:val="00DA25A6"/>
    <w:rsid w:val="00DA76FA"/>
    <w:rsid w:val="00DB1C24"/>
    <w:rsid w:val="00DB39CF"/>
    <w:rsid w:val="00DB7256"/>
    <w:rsid w:val="00DB758D"/>
    <w:rsid w:val="00DC0401"/>
    <w:rsid w:val="00DC20BD"/>
    <w:rsid w:val="00DC7F2B"/>
    <w:rsid w:val="00DD0BCD"/>
    <w:rsid w:val="00DD28E9"/>
    <w:rsid w:val="00DD2A6D"/>
    <w:rsid w:val="00DD447A"/>
    <w:rsid w:val="00DD65C3"/>
    <w:rsid w:val="00DE3B20"/>
    <w:rsid w:val="00DE408D"/>
    <w:rsid w:val="00DE6C94"/>
    <w:rsid w:val="00DE6FD7"/>
    <w:rsid w:val="00DF0182"/>
    <w:rsid w:val="00DF191E"/>
    <w:rsid w:val="00DF46F8"/>
    <w:rsid w:val="00E02CEF"/>
    <w:rsid w:val="00E0347B"/>
    <w:rsid w:val="00E12712"/>
    <w:rsid w:val="00E13665"/>
    <w:rsid w:val="00E16776"/>
    <w:rsid w:val="00E23271"/>
    <w:rsid w:val="00E233B0"/>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5269"/>
    <w:rsid w:val="00E673AA"/>
    <w:rsid w:val="00E721BD"/>
    <w:rsid w:val="00E747F1"/>
    <w:rsid w:val="00E751D4"/>
    <w:rsid w:val="00E763E9"/>
    <w:rsid w:val="00E76D66"/>
    <w:rsid w:val="00E80395"/>
    <w:rsid w:val="00E956BA"/>
    <w:rsid w:val="00E957E2"/>
    <w:rsid w:val="00E96140"/>
    <w:rsid w:val="00EA41A5"/>
    <w:rsid w:val="00EA5357"/>
    <w:rsid w:val="00EA796A"/>
    <w:rsid w:val="00EB06C1"/>
    <w:rsid w:val="00EB1856"/>
    <w:rsid w:val="00EC2092"/>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F1CF2"/>
    <w:rsid w:val="00F024FE"/>
    <w:rsid w:val="00F05AD4"/>
    <w:rsid w:val="00F07782"/>
    <w:rsid w:val="00F10EB6"/>
    <w:rsid w:val="00F1319A"/>
    <w:rsid w:val="00F13F07"/>
    <w:rsid w:val="00F140B2"/>
    <w:rsid w:val="00F150F1"/>
    <w:rsid w:val="00F16628"/>
    <w:rsid w:val="00F16D42"/>
    <w:rsid w:val="00F2189C"/>
    <w:rsid w:val="00F2467F"/>
    <w:rsid w:val="00F2494A"/>
    <w:rsid w:val="00F25970"/>
    <w:rsid w:val="00F311A9"/>
    <w:rsid w:val="00F31FBE"/>
    <w:rsid w:val="00F32B57"/>
    <w:rsid w:val="00F426FA"/>
    <w:rsid w:val="00F5180D"/>
    <w:rsid w:val="00F520D3"/>
    <w:rsid w:val="00F53AFD"/>
    <w:rsid w:val="00F54D22"/>
    <w:rsid w:val="00F6065C"/>
    <w:rsid w:val="00F63201"/>
    <w:rsid w:val="00F63781"/>
    <w:rsid w:val="00F655D3"/>
    <w:rsid w:val="00F67496"/>
    <w:rsid w:val="00F7224B"/>
    <w:rsid w:val="00F801BA"/>
    <w:rsid w:val="00F8069D"/>
    <w:rsid w:val="00F808D6"/>
    <w:rsid w:val="00F913FF"/>
    <w:rsid w:val="00F9366A"/>
    <w:rsid w:val="00F946C9"/>
    <w:rsid w:val="00F94B71"/>
    <w:rsid w:val="00FA0EA5"/>
    <w:rsid w:val="00FA64F1"/>
    <w:rsid w:val="00FA74EE"/>
    <w:rsid w:val="00FB1179"/>
    <w:rsid w:val="00FB1A80"/>
    <w:rsid w:val="00FB2D93"/>
    <w:rsid w:val="00FB7A92"/>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6367F"/>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qFormat/>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uiPriority w:val="29"/>
    <w:qFormat/>
    <w:rsid w:val="00092F63"/>
    <w:pPr>
      <w:spacing w:before="120" w:after="180"/>
      <w:ind w:left="284" w:right="284"/>
    </w:pPr>
  </w:style>
  <w:style w:type="paragraph" w:styleId="FootnoteText">
    <w:name w:val="footnote text"/>
    <w:aliases w:val="Footnote Text Char Char"/>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aliases w:val="Footnote Text Char Char Char"/>
    <w:link w:val="FootnoteText"/>
    <w:rsid w:val="00A7415D"/>
    <w:rPr>
      <w:rFonts w:ascii="Segoe UI" w:hAnsi="Segoe UI"/>
      <w:sz w:val="17"/>
      <w:lang w:eastAsia="en-GB"/>
    </w:rPr>
  </w:style>
  <w:style w:type="table" w:styleId="TableGrid">
    <w:name w:val="Table Grid"/>
    <w:basedOn w:val="TableNormal"/>
    <w:uiPriority w:val="1"/>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092F63"/>
    <w:rPr>
      <w:rFonts w:ascii="Segoe UI" w:hAnsi="Segoe UI"/>
      <w:sz w:val="21"/>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link w:val="ListParagraphChar"/>
    <w:uiPriority w:val="34"/>
    <w:qFormat/>
    <w:rsid w:val="00D42589"/>
    <w:pPr>
      <w:ind w:left="720"/>
      <w:contextualSpacing/>
    </w:pPr>
  </w:style>
  <w:style w:type="paragraph" w:styleId="CommentText">
    <w:name w:val="annotation text"/>
    <w:basedOn w:val="Normal"/>
    <w:link w:val="CommentTextChar"/>
    <w:uiPriority w:val="99"/>
    <w:unhideWhenUsed/>
    <w:rsid w:val="004B49A6"/>
    <w:rPr>
      <w:sz w:val="20"/>
    </w:rPr>
  </w:style>
  <w:style w:type="character" w:customStyle="1" w:styleId="CommentTextChar">
    <w:name w:val="Comment Text Char"/>
    <w:basedOn w:val="DefaultParagraphFont"/>
    <w:link w:val="CommentText"/>
    <w:uiPriority w:val="99"/>
    <w:rsid w:val="004B49A6"/>
    <w:rPr>
      <w:rFonts w:ascii="Segoe UI" w:hAnsi="Segoe UI"/>
      <w:lang w:eastAsia="en-GB"/>
    </w:rPr>
  </w:style>
  <w:style w:type="paragraph" w:styleId="ListBullet">
    <w:name w:val="List Bullet"/>
    <w:basedOn w:val="Normal"/>
    <w:uiPriority w:val="36"/>
    <w:unhideWhenUsed/>
    <w:qFormat/>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86301C"/>
    <w:rPr>
      <w:color w:val="605E5C"/>
      <w:shd w:val="clear" w:color="auto" w:fill="E1DFDD"/>
    </w:rPr>
  </w:style>
  <w:style w:type="character" w:customStyle="1" w:styleId="BulletChar">
    <w:name w:val="Bullet Char"/>
    <w:link w:val="Bullet"/>
    <w:locked/>
    <w:rsid w:val="006C69BF"/>
    <w:rPr>
      <w:rFonts w:ascii="Segoe UI" w:hAnsi="Segoe UI"/>
      <w:sz w:val="21"/>
      <w:lang w:eastAsia="en-GB"/>
    </w:rPr>
  </w:style>
  <w:style w:type="paragraph" w:styleId="Caption">
    <w:name w:val="caption"/>
    <w:basedOn w:val="Normal"/>
    <w:next w:val="Normal"/>
    <w:uiPriority w:val="35"/>
    <w:unhideWhenUsed/>
    <w:qFormat/>
    <w:rsid w:val="00F94B71"/>
    <w:pPr>
      <w:spacing w:after="200"/>
    </w:pPr>
    <w:rPr>
      <w:i/>
      <w:iCs/>
      <w:color w:val="1F497D" w:themeColor="text2"/>
      <w:sz w:val="18"/>
      <w:szCs w:val="18"/>
    </w:rPr>
  </w:style>
  <w:style w:type="paragraph" w:styleId="Subtitle">
    <w:name w:val="Subtitle"/>
    <w:basedOn w:val="Normal"/>
    <w:next w:val="Normal"/>
    <w:link w:val="SubtitleChar"/>
    <w:uiPriority w:val="11"/>
    <w:qFormat/>
    <w:rsid w:val="009B678A"/>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B678A"/>
    <w:rPr>
      <w:rFonts w:asciiTheme="minorHAnsi" w:eastAsiaTheme="minorEastAsia" w:hAnsiTheme="minorHAnsi" w:cstheme="minorBidi"/>
      <w:color w:val="5A5A5A" w:themeColor="text1" w:themeTint="A5"/>
      <w:spacing w:val="15"/>
      <w:sz w:val="22"/>
      <w:szCs w:val="22"/>
      <w:lang w:eastAsia="en-US"/>
    </w:rPr>
  </w:style>
  <w:style w:type="character" w:customStyle="1" w:styleId="A4">
    <w:name w:val="A4"/>
    <w:uiPriority w:val="99"/>
    <w:rsid w:val="00F7224B"/>
    <w:rPr>
      <w:rFonts w:cs="DINPro-Light"/>
      <w:color w:val="000000"/>
      <w:sz w:val="14"/>
      <w:szCs w:val="14"/>
    </w:rPr>
  </w:style>
  <w:style w:type="paragraph" w:customStyle="1" w:styleId="Default">
    <w:name w:val="Default"/>
    <w:rsid w:val="00F7224B"/>
    <w:pPr>
      <w:autoSpaceDE w:val="0"/>
      <w:autoSpaceDN w:val="0"/>
      <w:adjustRightInd w:val="0"/>
    </w:pPr>
    <w:rPr>
      <w:rFonts w:ascii="Arial" w:eastAsia="Calibri" w:hAnsi="Arial" w:cs="Arial"/>
      <w:color w:val="000000"/>
      <w:sz w:val="24"/>
      <w:szCs w:val="24"/>
      <w:lang w:eastAsia="en-US"/>
    </w:rPr>
  </w:style>
  <w:style w:type="character" w:customStyle="1" w:styleId="slug-vol">
    <w:name w:val="slug-vol"/>
    <w:rsid w:val="00F7224B"/>
    <w:rPr>
      <w:b/>
      <w:bCs/>
    </w:rPr>
  </w:style>
  <w:style w:type="character" w:customStyle="1" w:styleId="cit-sep1">
    <w:name w:val="cit-sep1"/>
    <w:rsid w:val="00F7224B"/>
    <w:rPr>
      <w:b w:val="0"/>
      <w:bCs w:val="0"/>
    </w:rPr>
  </w:style>
  <w:style w:type="character" w:customStyle="1" w:styleId="slug-pub-date3">
    <w:name w:val="slug-pub-date3"/>
    <w:rsid w:val="00F7224B"/>
    <w:rPr>
      <w:b w:val="0"/>
      <w:bCs w:val="0"/>
    </w:rPr>
  </w:style>
  <w:style w:type="character" w:customStyle="1" w:styleId="slug-elocation">
    <w:name w:val="slug-elocation"/>
    <w:rsid w:val="00F7224B"/>
  </w:style>
  <w:style w:type="character" w:customStyle="1" w:styleId="slug-doi2">
    <w:name w:val="slug-doi2"/>
    <w:rsid w:val="00F7224B"/>
  </w:style>
  <w:style w:type="paragraph" w:styleId="TableofFigures">
    <w:name w:val="table of figures"/>
    <w:basedOn w:val="Normal"/>
    <w:next w:val="Normal"/>
    <w:uiPriority w:val="99"/>
    <w:unhideWhenUsed/>
    <w:rsid w:val="002663EF"/>
  </w:style>
  <w:style w:type="paragraph" w:styleId="NormalWeb">
    <w:name w:val="Normal (Web)"/>
    <w:basedOn w:val="Normal"/>
    <w:uiPriority w:val="99"/>
    <w:unhideWhenUsed/>
    <w:rsid w:val="00C448A2"/>
    <w:pPr>
      <w:spacing w:before="100" w:beforeAutospacing="1" w:after="100" w:afterAutospacing="1"/>
    </w:pPr>
    <w:rPr>
      <w:rFonts w:ascii="Times New Roman" w:hAnsi="Times New Roman"/>
      <w:sz w:val="24"/>
      <w:szCs w:val="24"/>
      <w:lang w:eastAsia="en-NZ"/>
    </w:rPr>
  </w:style>
  <w:style w:type="paragraph" w:styleId="BlockText">
    <w:name w:val="Block Text"/>
    <w:aliases w:val="Block Quote"/>
    <w:uiPriority w:val="40"/>
    <w:rsid w:val="00966826"/>
    <w:pPr>
      <w:pBdr>
        <w:top w:val="single" w:sz="2" w:space="10" w:color="95B3D7" w:themeColor="accent1" w:themeTint="99"/>
        <w:bottom w:val="single" w:sz="24" w:space="10" w:color="95B3D7" w:themeColor="accent1" w:themeTint="99"/>
      </w:pBdr>
      <w:spacing w:after="280"/>
      <w:ind w:left="1440" w:right="1440"/>
      <w:jc w:val="both"/>
    </w:pPr>
    <w:rPr>
      <w:rFonts w:asciiTheme="minorHAnsi" w:hAnsiTheme="minorHAnsi"/>
      <w:color w:val="7F7F7F" w:themeColor="background1" w:themeShade="7F"/>
      <w:sz w:val="28"/>
      <w:szCs w:val="28"/>
      <w:lang w:val="en-US" w:eastAsia="ko-KR" w:bidi="hi-IN"/>
    </w:rPr>
  </w:style>
  <w:style w:type="character" w:styleId="BookTitle">
    <w:name w:val="Book Title"/>
    <w:basedOn w:val="DefaultParagraphFont"/>
    <w:uiPriority w:val="33"/>
    <w:qFormat/>
    <w:rsid w:val="00966826"/>
    <w:rPr>
      <w:rFonts w:asciiTheme="majorHAnsi" w:hAnsiTheme="majorHAnsi" w:cs="Times New Roman"/>
      <w:i/>
      <w:color w:val="F79646" w:themeColor="accent6"/>
      <w:sz w:val="20"/>
      <w:szCs w:val="20"/>
    </w:rPr>
  </w:style>
  <w:style w:type="character" w:styleId="Emphasis">
    <w:name w:val="Emphasis"/>
    <w:uiPriority w:val="20"/>
    <w:qFormat/>
    <w:rsid w:val="00966826"/>
    <w:rPr>
      <w:b/>
      <w:i/>
      <w:color w:val="404040" w:themeColor="text1" w:themeTint="BF"/>
      <w:spacing w:val="2"/>
      <w:w w:val="100"/>
    </w:rPr>
  </w:style>
  <w:style w:type="character" w:styleId="IntenseEmphasis">
    <w:name w:val="Intense Emphasis"/>
    <w:basedOn w:val="DefaultParagraphFont"/>
    <w:uiPriority w:val="21"/>
    <w:qFormat/>
    <w:rsid w:val="00966826"/>
    <w:rPr>
      <w:rFonts w:asciiTheme="minorHAnsi" w:hAnsiTheme="minorHAnsi" w:cs="Times New Roman"/>
      <w:b/>
      <w:i/>
      <w:smallCaps/>
      <w:color w:val="C0504D" w:themeColor="accent2"/>
      <w:spacing w:val="2"/>
      <w:w w:val="100"/>
      <w:sz w:val="20"/>
      <w:szCs w:val="20"/>
    </w:rPr>
  </w:style>
  <w:style w:type="paragraph" w:styleId="IntenseQuote">
    <w:name w:val="Intense Quote"/>
    <w:basedOn w:val="Normal"/>
    <w:link w:val="IntenseQuoteChar"/>
    <w:uiPriority w:val="30"/>
    <w:qFormat/>
    <w:rsid w:val="00966826"/>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160" w:line="276" w:lineRule="auto"/>
      <w:ind w:left="1440" w:right="1440"/>
      <w:jc w:val="center"/>
    </w:pPr>
    <w:rPr>
      <w:rFonts w:asciiTheme="majorHAnsi" w:eastAsiaTheme="minorHAnsi" w:hAnsiTheme="majorHAnsi"/>
      <w:i/>
      <w:color w:val="FFFFFF" w:themeColor="background1"/>
      <w:sz w:val="32"/>
      <w:lang w:val="en-US" w:eastAsia="en-US"/>
    </w:rPr>
  </w:style>
  <w:style w:type="character" w:customStyle="1" w:styleId="IntenseQuoteChar">
    <w:name w:val="Intense Quote Char"/>
    <w:basedOn w:val="DefaultParagraphFont"/>
    <w:link w:val="IntenseQuote"/>
    <w:uiPriority w:val="30"/>
    <w:rsid w:val="00966826"/>
    <w:rPr>
      <w:rFonts w:asciiTheme="majorHAnsi" w:eastAsiaTheme="minorHAnsi" w:hAnsiTheme="majorHAnsi"/>
      <w:i/>
      <w:color w:val="FFFFFF" w:themeColor="background1"/>
      <w:sz w:val="32"/>
      <w:shd w:val="clear" w:color="auto" w:fill="4F81BD" w:themeFill="accent1"/>
      <w:lang w:val="en-US" w:eastAsia="en-US"/>
    </w:rPr>
  </w:style>
  <w:style w:type="character" w:styleId="IntenseReference">
    <w:name w:val="Intense Reference"/>
    <w:basedOn w:val="DefaultParagraphFont"/>
    <w:uiPriority w:val="32"/>
    <w:qFormat/>
    <w:rsid w:val="00966826"/>
    <w:rPr>
      <w:rFonts w:cs="Times New Roman"/>
      <w:b/>
      <w:color w:val="4F81BD" w:themeColor="accent1"/>
      <w:sz w:val="22"/>
      <w:szCs w:val="20"/>
      <w:u w:val="single"/>
    </w:rPr>
  </w:style>
  <w:style w:type="paragraph" w:styleId="ListBullet2">
    <w:name w:val="List Bullet 2"/>
    <w:basedOn w:val="Normal"/>
    <w:uiPriority w:val="36"/>
    <w:unhideWhenUsed/>
    <w:qFormat/>
    <w:rsid w:val="00966826"/>
    <w:pPr>
      <w:numPr>
        <w:numId w:val="9"/>
      </w:numPr>
      <w:spacing w:line="276" w:lineRule="auto"/>
    </w:pPr>
    <w:rPr>
      <w:rFonts w:ascii="Arial" w:eastAsiaTheme="minorHAnsi" w:hAnsi="Arial"/>
      <w:color w:val="000000" w:themeColor="text1"/>
      <w:sz w:val="20"/>
      <w:lang w:val="en-US" w:eastAsia="en-US"/>
    </w:rPr>
  </w:style>
  <w:style w:type="paragraph" w:styleId="ListBullet3">
    <w:name w:val="List Bullet 3"/>
    <w:basedOn w:val="Normal"/>
    <w:uiPriority w:val="36"/>
    <w:unhideWhenUsed/>
    <w:qFormat/>
    <w:rsid w:val="00966826"/>
    <w:pPr>
      <w:numPr>
        <w:numId w:val="10"/>
      </w:numPr>
      <w:spacing w:line="276" w:lineRule="auto"/>
    </w:pPr>
    <w:rPr>
      <w:rFonts w:ascii="Arial" w:eastAsiaTheme="minorHAnsi" w:hAnsi="Arial"/>
      <w:color w:val="000000" w:themeColor="text1"/>
      <w:sz w:val="20"/>
      <w:lang w:val="en-US" w:eastAsia="en-US"/>
    </w:rPr>
  </w:style>
  <w:style w:type="paragraph" w:styleId="ListBullet4">
    <w:name w:val="List Bullet 4"/>
    <w:basedOn w:val="Normal"/>
    <w:uiPriority w:val="36"/>
    <w:unhideWhenUsed/>
    <w:qFormat/>
    <w:rsid w:val="00966826"/>
    <w:pPr>
      <w:numPr>
        <w:numId w:val="11"/>
      </w:numPr>
      <w:spacing w:line="276" w:lineRule="auto"/>
    </w:pPr>
    <w:rPr>
      <w:rFonts w:ascii="Arial" w:eastAsiaTheme="minorHAnsi" w:hAnsi="Arial"/>
      <w:color w:val="000000" w:themeColor="text1"/>
      <w:sz w:val="20"/>
      <w:lang w:val="en-US" w:eastAsia="en-US"/>
    </w:rPr>
  </w:style>
  <w:style w:type="paragraph" w:styleId="ListBullet5">
    <w:name w:val="List Bullet 5"/>
    <w:basedOn w:val="Normal"/>
    <w:uiPriority w:val="36"/>
    <w:unhideWhenUsed/>
    <w:qFormat/>
    <w:rsid w:val="00966826"/>
    <w:pPr>
      <w:numPr>
        <w:numId w:val="12"/>
      </w:numPr>
      <w:spacing w:line="276" w:lineRule="auto"/>
    </w:pPr>
    <w:rPr>
      <w:rFonts w:ascii="Arial" w:eastAsiaTheme="minorHAnsi" w:hAnsi="Arial"/>
      <w:color w:val="000000" w:themeColor="text1"/>
      <w:sz w:val="20"/>
      <w:lang w:val="en-US" w:eastAsia="en-US"/>
    </w:rPr>
  </w:style>
  <w:style w:type="paragraph" w:styleId="NoSpacing">
    <w:name w:val="No Spacing"/>
    <w:basedOn w:val="Normal"/>
    <w:link w:val="NoSpacingChar"/>
    <w:uiPriority w:val="1"/>
    <w:qFormat/>
    <w:rsid w:val="00966826"/>
    <w:rPr>
      <w:rFonts w:ascii="Arial" w:eastAsiaTheme="minorHAnsi" w:hAnsi="Arial"/>
      <w:b/>
      <w:color w:val="244061" w:themeColor="accent1" w:themeShade="80"/>
      <w:sz w:val="20"/>
      <w:lang w:val="en-US" w:eastAsia="en-US"/>
    </w:rPr>
  </w:style>
  <w:style w:type="character" w:styleId="PlaceholderText">
    <w:name w:val="Placeholder Text"/>
    <w:basedOn w:val="DefaultParagraphFont"/>
    <w:uiPriority w:val="99"/>
    <w:semiHidden/>
    <w:rsid w:val="00966826"/>
    <w:rPr>
      <w:color w:val="808080"/>
    </w:rPr>
  </w:style>
  <w:style w:type="character" w:styleId="Strong">
    <w:name w:val="Strong"/>
    <w:uiPriority w:val="22"/>
    <w:qFormat/>
    <w:rsid w:val="00966826"/>
    <w:rPr>
      <w:rFonts w:asciiTheme="minorHAnsi" w:hAnsiTheme="minorHAnsi"/>
      <w:b/>
      <w:color w:val="C0504D" w:themeColor="accent2"/>
    </w:rPr>
  </w:style>
  <w:style w:type="character" w:styleId="SubtleEmphasis">
    <w:name w:val="Subtle Emphasis"/>
    <w:basedOn w:val="DefaultParagraphFont"/>
    <w:uiPriority w:val="19"/>
    <w:qFormat/>
    <w:rsid w:val="00966826"/>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966826"/>
    <w:rPr>
      <w:rFonts w:cs="Times New Roman"/>
      <w:color w:val="737373" w:themeColor="text1" w:themeTint="8C"/>
      <w:sz w:val="22"/>
      <w:szCs w:val="20"/>
      <w:u w:val="single"/>
    </w:rPr>
  </w:style>
  <w:style w:type="paragraph" w:styleId="TOC4">
    <w:name w:val="toc 4"/>
    <w:basedOn w:val="Normal"/>
    <w:next w:val="Normal"/>
    <w:autoRedefine/>
    <w:uiPriority w:val="99"/>
    <w:semiHidden/>
    <w:unhideWhenUsed/>
    <w:qFormat/>
    <w:rsid w:val="00966826"/>
    <w:pPr>
      <w:tabs>
        <w:tab w:val="right" w:leader="dot" w:pos="8630"/>
      </w:tabs>
      <w:spacing w:after="40"/>
      <w:ind w:left="662"/>
    </w:pPr>
    <w:rPr>
      <w:rFonts w:ascii="Arial" w:eastAsiaTheme="minorHAnsi" w:hAnsi="Arial"/>
      <w:smallCaps/>
      <w:noProof/>
      <w:color w:val="000000" w:themeColor="text1"/>
      <w:sz w:val="20"/>
      <w:lang w:val="en-US" w:eastAsia="en-US"/>
    </w:rPr>
  </w:style>
  <w:style w:type="paragraph" w:styleId="TOC5">
    <w:name w:val="toc 5"/>
    <w:basedOn w:val="Normal"/>
    <w:next w:val="Normal"/>
    <w:autoRedefine/>
    <w:uiPriority w:val="99"/>
    <w:semiHidden/>
    <w:unhideWhenUsed/>
    <w:qFormat/>
    <w:rsid w:val="00966826"/>
    <w:pPr>
      <w:tabs>
        <w:tab w:val="right" w:leader="dot" w:pos="8630"/>
      </w:tabs>
      <w:spacing w:after="40"/>
      <w:ind w:left="878"/>
    </w:pPr>
    <w:rPr>
      <w:rFonts w:ascii="Arial" w:eastAsiaTheme="minorHAnsi" w:hAnsi="Arial"/>
      <w:smallCaps/>
      <w:noProof/>
      <w:color w:val="000000" w:themeColor="text1"/>
      <w:sz w:val="20"/>
      <w:lang w:val="en-US" w:eastAsia="en-US"/>
    </w:rPr>
  </w:style>
  <w:style w:type="paragraph" w:styleId="TOC6">
    <w:name w:val="toc 6"/>
    <w:basedOn w:val="Normal"/>
    <w:next w:val="Normal"/>
    <w:autoRedefine/>
    <w:uiPriority w:val="99"/>
    <w:semiHidden/>
    <w:unhideWhenUsed/>
    <w:qFormat/>
    <w:rsid w:val="00966826"/>
    <w:pPr>
      <w:tabs>
        <w:tab w:val="right" w:leader="dot" w:pos="8630"/>
      </w:tabs>
      <w:spacing w:after="40"/>
      <w:ind w:left="1094"/>
    </w:pPr>
    <w:rPr>
      <w:rFonts w:ascii="Arial" w:eastAsiaTheme="minorHAnsi" w:hAnsi="Arial"/>
      <w:smallCaps/>
      <w:noProof/>
      <w:color w:val="000000" w:themeColor="text1"/>
      <w:sz w:val="20"/>
      <w:lang w:val="en-US" w:eastAsia="en-US"/>
    </w:rPr>
  </w:style>
  <w:style w:type="paragraph" w:styleId="TOC7">
    <w:name w:val="toc 7"/>
    <w:basedOn w:val="Normal"/>
    <w:next w:val="Normal"/>
    <w:autoRedefine/>
    <w:uiPriority w:val="99"/>
    <w:semiHidden/>
    <w:unhideWhenUsed/>
    <w:qFormat/>
    <w:rsid w:val="00966826"/>
    <w:pPr>
      <w:tabs>
        <w:tab w:val="right" w:leader="dot" w:pos="8630"/>
      </w:tabs>
      <w:spacing w:after="40"/>
      <w:ind w:left="1325"/>
    </w:pPr>
    <w:rPr>
      <w:rFonts w:ascii="Arial" w:eastAsiaTheme="minorHAnsi" w:hAnsi="Arial"/>
      <w:smallCaps/>
      <w:noProof/>
      <w:color w:val="000000" w:themeColor="text1"/>
      <w:sz w:val="20"/>
      <w:lang w:val="en-US" w:eastAsia="en-US"/>
    </w:rPr>
  </w:style>
  <w:style w:type="paragraph" w:styleId="TOC8">
    <w:name w:val="toc 8"/>
    <w:basedOn w:val="Normal"/>
    <w:next w:val="Normal"/>
    <w:autoRedefine/>
    <w:uiPriority w:val="99"/>
    <w:semiHidden/>
    <w:unhideWhenUsed/>
    <w:qFormat/>
    <w:rsid w:val="00966826"/>
    <w:pPr>
      <w:tabs>
        <w:tab w:val="right" w:leader="dot" w:pos="8630"/>
      </w:tabs>
      <w:spacing w:after="40"/>
      <w:ind w:left="1540"/>
    </w:pPr>
    <w:rPr>
      <w:rFonts w:ascii="Arial" w:eastAsiaTheme="minorHAnsi" w:hAnsi="Arial"/>
      <w:smallCaps/>
      <w:noProof/>
      <w:color w:val="000000" w:themeColor="text1"/>
      <w:sz w:val="20"/>
      <w:lang w:val="en-US" w:eastAsia="en-US"/>
    </w:rPr>
  </w:style>
  <w:style w:type="paragraph" w:styleId="TOC9">
    <w:name w:val="toc 9"/>
    <w:basedOn w:val="Normal"/>
    <w:next w:val="Normal"/>
    <w:autoRedefine/>
    <w:uiPriority w:val="99"/>
    <w:semiHidden/>
    <w:unhideWhenUsed/>
    <w:qFormat/>
    <w:rsid w:val="00966826"/>
    <w:pPr>
      <w:tabs>
        <w:tab w:val="right" w:leader="dot" w:pos="8630"/>
      </w:tabs>
      <w:spacing w:after="40"/>
      <w:ind w:left="1760"/>
    </w:pPr>
    <w:rPr>
      <w:rFonts w:ascii="Arial" w:eastAsiaTheme="minorHAnsi" w:hAnsi="Arial"/>
      <w:smallCaps/>
      <w:noProof/>
      <w:color w:val="000000" w:themeColor="text1"/>
      <w:sz w:val="20"/>
      <w:lang w:val="en-US" w:eastAsia="en-US"/>
    </w:rPr>
  </w:style>
  <w:style w:type="table" w:styleId="PlainTable4">
    <w:name w:val="Plain Table 4"/>
    <w:basedOn w:val="TableNormal"/>
    <w:uiPriority w:val="44"/>
    <w:rsid w:val="00966826"/>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966826"/>
    <w:rPr>
      <w:rFonts w:ascii="Arial" w:eastAsiaTheme="minorHAnsi" w:hAnsi="Arial"/>
      <w:b/>
      <w:color w:val="244061" w:themeColor="accent1" w:themeShade="80"/>
      <w:lang w:val="en-US" w:eastAsia="en-US"/>
    </w:rPr>
  </w:style>
  <w:style w:type="paragraph" w:styleId="TOCHeading">
    <w:name w:val="TOC Heading"/>
    <w:basedOn w:val="Heading1"/>
    <w:next w:val="Normal"/>
    <w:uiPriority w:val="39"/>
    <w:unhideWhenUsed/>
    <w:qFormat/>
    <w:rsid w:val="00966826"/>
    <w:pPr>
      <w:keepNext/>
      <w:keepLines/>
      <w:pageBreakBefore w:val="0"/>
      <w:spacing w:before="240" w:after="0" w:line="259" w:lineRule="auto"/>
      <w:outlineLvl w:val="9"/>
    </w:pPr>
    <w:rPr>
      <w:rFonts w:asciiTheme="majorHAnsi" w:eastAsiaTheme="majorEastAsia" w:hAnsiTheme="majorHAnsi" w:cstheme="majorBidi"/>
      <w:bCs/>
      <w:color w:val="365F91" w:themeColor="accent1" w:themeShade="BF"/>
      <w:spacing w:val="0"/>
      <w:sz w:val="32"/>
      <w:szCs w:val="32"/>
      <w:lang w:val="en-US" w:eastAsia="en-US"/>
    </w:rPr>
  </w:style>
  <w:style w:type="paragraph" w:styleId="ListNumber">
    <w:name w:val="List Number"/>
    <w:basedOn w:val="Normal"/>
    <w:uiPriority w:val="12"/>
    <w:qFormat/>
    <w:rsid w:val="00966826"/>
    <w:pPr>
      <w:numPr>
        <w:numId w:val="13"/>
      </w:numPr>
      <w:spacing w:after="200" w:line="276" w:lineRule="auto"/>
    </w:pPr>
    <w:rPr>
      <w:rFonts w:ascii="Arial" w:hAnsi="Arial"/>
      <w:b/>
      <w:sz w:val="20"/>
      <w:szCs w:val="24"/>
      <w:lang w:val="en-US" w:eastAsia="en-US"/>
    </w:rPr>
  </w:style>
  <w:style w:type="paragraph" w:styleId="ListNumber2">
    <w:name w:val="List Number 2"/>
    <w:basedOn w:val="Normal"/>
    <w:uiPriority w:val="12"/>
    <w:unhideWhenUsed/>
    <w:qFormat/>
    <w:rsid w:val="00966826"/>
    <w:pPr>
      <w:numPr>
        <w:ilvl w:val="1"/>
        <w:numId w:val="13"/>
      </w:numPr>
      <w:spacing w:after="120" w:line="276" w:lineRule="auto"/>
      <w:ind w:hanging="590"/>
    </w:pPr>
    <w:rPr>
      <w:rFonts w:ascii="Arial" w:hAnsi="Arial"/>
      <w:sz w:val="20"/>
      <w:szCs w:val="24"/>
      <w:lang w:val="en-US" w:eastAsia="en-US"/>
    </w:rPr>
  </w:style>
  <w:style w:type="numbering" w:styleId="1ai">
    <w:name w:val="Outline List 1"/>
    <w:basedOn w:val="NoList"/>
    <w:uiPriority w:val="99"/>
    <w:semiHidden/>
    <w:unhideWhenUsed/>
    <w:rsid w:val="00966826"/>
    <w:pPr>
      <w:numPr>
        <w:numId w:val="14"/>
      </w:numPr>
    </w:pPr>
  </w:style>
  <w:style w:type="paragraph" w:customStyle="1" w:styleId="Details">
    <w:name w:val="Details"/>
    <w:basedOn w:val="Date"/>
    <w:qFormat/>
    <w:rsid w:val="00966826"/>
    <w:pPr>
      <w:spacing w:after="480" w:line="240" w:lineRule="auto"/>
      <w:ind w:left="173"/>
      <w:jc w:val="center"/>
    </w:pPr>
    <w:rPr>
      <w:rFonts w:eastAsia="Times New Roman"/>
      <w:color w:val="auto"/>
      <w:szCs w:val="24"/>
      <w:lang w:val="en-GB"/>
    </w:rPr>
  </w:style>
  <w:style w:type="paragraph" w:styleId="Date">
    <w:name w:val="Date"/>
    <w:basedOn w:val="Normal"/>
    <w:next w:val="Normal"/>
    <w:link w:val="DateChar"/>
    <w:uiPriority w:val="99"/>
    <w:semiHidden/>
    <w:unhideWhenUsed/>
    <w:rsid w:val="00966826"/>
    <w:pPr>
      <w:spacing w:after="160" w:line="276" w:lineRule="auto"/>
    </w:pPr>
    <w:rPr>
      <w:rFonts w:ascii="Arial" w:eastAsiaTheme="minorHAnsi" w:hAnsi="Arial"/>
      <w:color w:val="000000" w:themeColor="text1"/>
      <w:sz w:val="20"/>
      <w:lang w:val="en-US" w:eastAsia="en-US"/>
    </w:rPr>
  </w:style>
  <w:style w:type="character" w:customStyle="1" w:styleId="DateChar">
    <w:name w:val="Date Char"/>
    <w:basedOn w:val="DefaultParagraphFont"/>
    <w:link w:val="Date"/>
    <w:uiPriority w:val="99"/>
    <w:semiHidden/>
    <w:rsid w:val="00966826"/>
    <w:rPr>
      <w:rFonts w:ascii="Arial" w:eastAsiaTheme="minorHAnsi" w:hAnsi="Arial"/>
      <w:color w:val="000000" w:themeColor="text1"/>
      <w:lang w:val="en-US" w:eastAsia="en-US"/>
    </w:rPr>
  </w:style>
  <w:style w:type="table" w:styleId="GridTable5Dark-Accent2">
    <w:name w:val="Grid Table 5 Dark Accent 2"/>
    <w:basedOn w:val="TableNormal"/>
    <w:uiPriority w:val="50"/>
    <w:rsid w:val="00966826"/>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the-question">
    <w:name w:val="the-question"/>
    <w:basedOn w:val="DefaultParagraphFont"/>
    <w:rsid w:val="00966826"/>
  </w:style>
  <w:style w:type="paragraph" w:styleId="EndnoteText">
    <w:name w:val="endnote text"/>
    <w:basedOn w:val="Normal"/>
    <w:link w:val="EndnoteTextChar"/>
    <w:uiPriority w:val="99"/>
    <w:unhideWhenUsed/>
    <w:rsid w:val="00966826"/>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96682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966826"/>
    <w:rPr>
      <w:vertAlign w:val="superscript"/>
    </w:rPr>
  </w:style>
  <w:style w:type="character" w:customStyle="1" w:styleId="css-901oao">
    <w:name w:val="css-901oao"/>
    <w:basedOn w:val="DefaultParagraphFont"/>
    <w:rsid w:val="00966826"/>
  </w:style>
  <w:style w:type="paragraph" w:styleId="HTMLPreformatted">
    <w:name w:val="HTML Preformatted"/>
    <w:basedOn w:val="Normal"/>
    <w:link w:val="HTMLPreformattedChar"/>
    <w:rsid w:val="0096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rsid w:val="00966826"/>
    <w:rPr>
      <w:rFonts w:ascii="Courier New" w:hAnsi="Courier New" w:cs="Courier New"/>
      <w:lang w:val="en-US" w:eastAsia="en-US"/>
    </w:rPr>
  </w:style>
  <w:style w:type="paragraph" w:customStyle="1" w:styleId="m571217095563050913msocommenttext">
    <w:name w:val="m_571217095563050913msocommenttext"/>
    <w:basedOn w:val="Normal"/>
    <w:rsid w:val="00966826"/>
    <w:pPr>
      <w:spacing w:before="100" w:beforeAutospacing="1" w:after="100" w:afterAutospacing="1"/>
    </w:pPr>
    <w:rPr>
      <w:rFonts w:ascii="Times New Roman" w:hAnsi="Times New Roman"/>
      <w:sz w:val="24"/>
      <w:szCs w:val="24"/>
      <w:lang w:eastAsia="en-NZ"/>
    </w:rPr>
  </w:style>
  <w:style w:type="paragraph" w:styleId="BodyText">
    <w:name w:val="Body Text"/>
    <w:basedOn w:val="Normal"/>
    <w:link w:val="BodyTextChar"/>
    <w:rsid w:val="00966826"/>
    <w:pPr>
      <w:spacing w:after="240"/>
      <w:jc w:val="both"/>
    </w:pPr>
    <w:rPr>
      <w:rFonts w:ascii="Arial" w:hAnsi="Arial"/>
      <w:sz w:val="22"/>
      <w:szCs w:val="24"/>
      <w:lang w:eastAsia="en-US"/>
    </w:rPr>
  </w:style>
  <w:style w:type="character" w:customStyle="1" w:styleId="BodyTextChar">
    <w:name w:val="Body Text Char"/>
    <w:basedOn w:val="DefaultParagraphFont"/>
    <w:link w:val="BodyText"/>
    <w:rsid w:val="00966826"/>
    <w:rPr>
      <w:rFonts w:ascii="Arial" w:hAnsi="Arial"/>
      <w:sz w:val="22"/>
      <w:szCs w:val="24"/>
      <w:lang w:eastAsia="en-US"/>
    </w:rPr>
  </w:style>
  <w:style w:type="character" w:styleId="FollowedHyperlink">
    <w:name w:val="FollowedHyperlink"/>
    <w:basedOn w:val="DefaultParagraphFont"/>
    <w:uiPriority w:val="99"/>
    <w:semiHidden/>
    <w:unhideWhenUsed/>
    <w:rsid w:val="00966826"/>
    <w:rPr>
      <w:color w:val="800080" w:themeColor="followedHyperlink"/>
      <w:u w:val="single"/>
    </w:rPr>
  </w:style>
  <w:style w:type="character" w:customStyle="1" w:styleId="ListParagraphChar">
    <w:name w:val="List Paragraph Char"/>
    <w:basedOn w:val="DefaultParagraphFont"/>
    <w:link w:val="ListParagraph"/>
    <w:uiPriority w:val="34"/>
    <w:rsid w:val="00966826"/>
    <w:rPr>
      <w:rFonts w:ascii="Segoe UI" w:hAnsi="Segoe UI"/>
      <w:sz w:val="21"/>
      <w:lang w:eastAsia="en-GB"/>
    </w:rPr>
  </w:style>
  <w:style w:type="paragraph" w:styleId="Bibliography">
    <w:name w:val="Bibliography"/>
    <w:basedOn w:val="Normal"/>
    <w:next w:val="Normal"/>
    <w:uiPriority w:val="37"/>
    <w:unhideWhenUsed/>
    <w:rsid w:val="00966826"/>
    <w:pPr>
      <w:spacing w:before="80" w:after="80" w:line="280" w:lineRule="exact"/>
    </w:pPr>
    <w:rPr>
      <w:rFonts w:ascii="Arial" w:hAnsi="Arial"/>
      <w:color w:val="595959"/>
      <w:sz w:val="18"/>
      <w:lang w:eastAsia="en-US"/>
    </w:rPr>
  </w:style>
  <w:style w:type="table" w:styleId="TableGridLight">
    <w:name w:val="Grid Table Light"/>
    <w:basedOn w:val="TableNormal"/>
    <w:uiPriority w:val="40"/>
    <w:rsid w:val="00966826"/>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66826"/>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966826"/>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font8">
    <w:name w:val="font_8"/>
    <w:basedOn w:val="Normal"/>
    <w:rsid w:val="00966826"/>
    <w:pPr>
      <w:spacing w:before="100" w:beforeAutospacing="1" w:after="100" w:afterAutospacing="1"/>
    </w:pPr>
    <w:rPr>
      <w:rFonts w:ascii="Times New Roman" w:hAnsi="Times New Roman"/>
      <w:sz w:val="24"/>
      <w:szCs w:val="24"/>
      <w:lang w:eastAsia="en-NZ"/>
    </w:rPr>
  </w:style>
  <w:style w:type="character" w:customStyle="1" w:styleId="wixguard">
    <w:name w:val="wixguard"/>
    <w:basedOn w:val="DefaultParagraphFont"/>
    <w:rsid w:val="0096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neac.health.govt.nz/about-us/committee-members" TargetMode="External"/><Relationship Id="rId27" Type="http://schemas.openxmlformats.org/officeDocument/2006/relationships/header" Target="header5.xml"/><Relationship Id="rId30" Type="http://schemas.openxmlformats.org/officeDocument/2006/relationships/hyperlink" Target="https://apps.who.int/gb/COVID-19/pdf_files/18_06/Global%20Allocation%20Framework.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agaard\AppData\Local\Temp\notesD09D94\Hayley%20NEAC%20consult%20publication%20spreadsheet%20working%20copy.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'LIKERT Scales'!$B$1</c:f>
              <c:strCache>
                <c:ptCount val="1"/>
                <c:pt idx="0">
                  <c:v>Strongly Disagree</c:v>
                </c:pt>
              </c:strCache>
            </c:strRef>
          </c:tx>
          <c:spPr>
            <a:solidFill>
              <a:schemeClr val="accent1"/>
            </a:solidFill>
            <a:ln>
              <a:noFill/>
            </a:ln>
            <a:effectLst/>
          </c:spPr>
          <c:invertIfNegative val="0"/>
          <c:cat>
            <c:strRef>
              <c:f>'LIKERT Scales'!$A$2:$A$4</c:f>
              <c:strCache>
                <c:ptCount val="3"/>
                <c:pt idx="0">
                  <c:v>The Framework captures the ethical tensions in resource allocation in times of scarcity </c:v>
                </c:pt>
                <c:pt idx="1">
                  <c:v>The Framework helps decision-makers understand the ethical implications of making decisions</c:v>
                </c:pt>
                <c:pt idx="2">
                  <c:v>The Framework helps decision-makers consider equity when responding to COVID-19</c:v>
                </c:pt>
              </c:strCache>
            </c:strRef>
          </c:cat>
          <c:val>
            <c:numRef>
              <c:f>'LIKERT Scales'!$B$2:$B$4</c:f>
              <c:numCache>
                <c:formatCode>General</c:formatCode>
                <c:ptCount val="3"/>
                <c:pt idx="0">
                  <c:v>0</c:v>
                </c:pt>
                <c:pt idx="1">
                  <c:v>0</c:v>
                </c:pt>
                <c:pt idx="2">
                  <c:v>0</c:v>
                </c:pt>
              </c:numCache>
            </c:numRef>
          </c:val>
          <c:extLst>
            <c:ext xmlns:c16="http://schemas.microsoft.com/office/drawing/2014/chart" uri="{C3380CC4-5D6E-409C-BE32-E72D297353CC}">
              <c16:uniqueId val="{00000000-4B01-4D6A-8936-5AD0BC336157}"/>
            </c:ext>
          </c:extLst>
        </c:ser>
        <c:ser>
          <c:idx val="1"/>
          <c:order val="1"/>
          <c:tx>
            <c:strRef>
              <c:f>'LIKERT Scales'!$C$1</c:f>
              <c:strCache>
                <c:ptCount val="1"/>
                <c:pt idx="0">
                  <c:v>Disagree</c:v>
                </c:pt>
              </c:strCache>
            </c:strRef>
          </c:tx>
          <c:spPr>
            <a:solidFill>
              <a:schemeClr val="accent2"/>
            </a:solidFill>
            <a:ln>
              <a:noFill/>
            </a:ln>
            <a:effectLst/>
          </c:spPr>
          <c:invertIfNegative val="0"/>
          <c:cat>
            <c:strRef>
              <c:f>'LIKERT Scales'!$A$2:$A$4</c:f>
              <c:strCache>
                <c:ptCount val="3"/>
                <c:pt idx="0">
                  <c:v>The Framework captures the ethical tensions in resource allocation in times of scarcity </c:v>
                </c:pt>
                <c:pt idx="1">
                  <c:v>The Framework helps decision-makers understand the ethical implications of making decisions</c:v>
                </c:pt>
                <c:pt idx="2">
                  <c:v>The Framework helps decision-makers consider equity when responding to COVID-19</c:v>
                </c:pt>
              </c:strCache>
            </c:strRef>
          </c:cat>
          <c:val>
            <c:numRef>
              <c:f>'LIKERT Scales'!$C$2:$C$4</c:f>
              <c:numCache>
                <c:formatCode>General</c:formatCode>
                <c:ptCount val="3"/>
                <c:pt idx="0">
                  <c:v>0</c:v>
                </c:pt>
                <c:pt idx="1">
                  <c:v>4</c:v>
                </c:pt>
                <c:pt idx="2">
                  <c:v>5</c:v>
                </c:pt>
              </c:numCache>
            </c:numRef>
          </c:val>
          <c:extLst>
            <c:ext xmlns:c16="http://schemas.microsoft.com/office/drawing/2014/chart" uri="{C3380CC4-5D6E-409C-BE32-E72D297353CC}">
              <c16:uniqueId val="{00000001-4B01-4D6A-8936-5AD0BC336157}"/>
            </c:ext>
          </c:extLst>
        </c:ser>
        <c:ser>
          <c:idx val="2"/>
          <c:order val="2"/>
          <c:tx>
            <c:strRef>
              <c:f>'LIKERT Scales'!$D$1</c:f>
              <c:strCache>
                <c:ptCount val="1"/>
                <c:pt idx="0">
                  <c:v>Neutral</c:v>
                </c:pt>
              </c:strCache>
            </c:strRef>
          </c:tx>
          <c:spPr>
            <a:solidFill>
              <a:schemeClr val="accent3"/>
            </a:solidFill>
            <a:ln>
              <a:noFill/>
            </a:ln>
            <a:effectLst/>
          </c:spPr>
          <c:invertIfNegative val="0"/>
          <c:cat>
            <c:strRef>
              <c:f>'LIKERT Scales'!$A$2:$A$4</c:f>
              <c:strCache>
                <c:ptCount val="3"/>
                <c:pt idx="0">
                  <c:v>The Framework captures the ethical tensions in resource allocation in times of scarcity </c:v>
                </c:pt>
                <c:pt idx="1">
                  <c:v>The Framework helps decision-makers understand the ethical implications of making decisions</c:v>
                </c:pt>
                <c:pt idx="2">
                  <c:v>The Framework helps decision-makers consider equity when responding to COVID-19</c:v>
                </c:pt>
              </c:strCache>
            </c:strRef>
          </c:cat>
          <c:val>
            <c:numRef>
              <c:f>'LIKERT Scales'!$D$2:$D$4</c:f>
              <c:numCache>
                <c:formatCode>General</c:formatCode>
                <c:ptCount val="3"/>
                <c:pt idx="0">
                  <c:v>3</c:v>
                </c:pt>
                <c:pt idx="1">
                  <c:v>3</c:v>
                </c:pt>
                <c:pt idx="2">
                  <c:v>1</c:v>
                </c:pt>
              </c:numCache>
            </c:numRef>
          </c:val>
          <c:extLst>
            <c:ext xmlns:c16="http://schemas.microsoft.com/office/drawing/2014/chart" uri="{C3380CC4-5D6E-409C-BE32-E72D297353CC}">
              <c16:uniqueId val="{00000002-4B01-4D6A-8936-5AD0BC336157}"/>
            </c:ext>
          </c:extLst>
        </c:ser>
        <c:ser>
          <c:idx val="3"/>
          <c:order val="3"/>
          <c:tx>
            <c:strRef>
              <c:f>'LIKERT Scales'!$E$1</c:f>
              <c:strCache>
                <c:ptCount val="1"/>
                <c:pt idx="0">
                  <c:v>Agree</c:v>
                </c:pt>
              </c:strCache>
            </c:strRef>
          </c:tx>
          <c:spPr>
            <a:solidFill>
              <a:schemeClr val="accent4"/>
            </a:solidFill>
            <a:ln>
              <a:noFill/>
            </a:ln>
            <a:effectLst/>
          </c:spPr>
          <c:invertIfNegative val="0"/>
          <c:cat>
            <c:strRef>
              <c:f>'LIKERT Scales'!$A$2:$A$4</c:f>
              <c:strCache>
                <c:ptCount val="3"/>
                <c:pt idx="0">
                  <c:v>The Framework captures the ethical tensions in resource allocation in times of scarcity </c:v>
                </c:pt>
                <c:pt idx="1">
                  <c:v>The Framework helps decision-makers understand the ethical implications of making decisions</c:v>
                </c:pt>
                <c:pt idx="2">
                  <c:v>The Framework helps decision-makers consider equity when responding to COVID-19</c:v>
                </c:pt>
              </c:strCache>
            </c:strRef>
          </c:cat>
          <c:val>
            <c:numRef>
              <c:f>'LIKERT Scales'!$E$2:$E$4</c:f>
              <c:numCache>
                <c:formatCode>General</c:formatCode>
                <c:ptCount val="3"/>
                <c:pt idx="0">
                  <c:v>14</c:v>
                </c:pt>
                <c:pt idx="1">
                  <c:v>11</c:v>
                </c:pt>
                <c:pt idx="2">
                  <c:v>13</c:v>
                </c:pt>
              </c:numCache>
            </c:numRef>
          </c:val>
          <c:extLst>
            <c:ext xmlns:c16="http://schemas.microsoft.com/office/drawing/2014/chart" uri="{C3380CC4-5D6E-409C-BE32-E72D297353CC}">
              <c16:uniqueId val="{00000003-4B01-4D6A-8936-5AD0BC336157}"/>
            </c:ext>
          </c:extLst>
        </c:ser>
        <c:ser>
          <c:idx val="4"/>
          <c:order val="4"/>
          <c:tx>
            <c:strRef>
              <c:f>'LIKERT Scales'!$F$1</c:f>
              <c:strCache>
                <c:ptCount val="1"/>
                <c:pt idx="0">
                  <c:v>Strongly Agree</c:v>
                </c:pt>
              </c:strCache>
            </c:strRef>
          </c:tx>
          <c:spPr>
            <a:solidFill>
              <a:schemeClr val="accent5"/>
            </a:solidFill>
            <a:ln>
              <a:noFill/>
            </a:ln>
            <a:effectLst/>
          </c:spPr>
          <c:invertIfNegative val="0"/>
          <c:cat>
            <c:strRef>
              <c:f>'LIKERT Scales'!$A$2:$A$4</c:f>
              <c:strCache>
                <c:ptCount val="3"/>
                <c:pt idx="0">
                  <c:v>The Framework captures the ethical tensions in resource allocation in times of scarcity </c:v>
                </c:pt>
                <c:pt idx="1">
                  <c:v>The Framework helps decision-makers understand the ethical implications of making decisions</c:v>
                </c:pt>
                <c:pt idx="2">
                  <c:v>The Framework helps decision-makers consider equity when responding to COVID-19</c:v>
                </c:pt>
              </c:strCache>
            </c:strRef>
          </c:cat>
          <c:val>
            <c:numRef>
              <c:f>'LIKERT Scales'!$F$2:$F$4</c:f>
              <c:numCache>
                <c:formatCode>General</c:formatCode>
                <c:ptCount val="3"/>
                <c:pt idx="0">
                  <c:v>6</c:v>
                </c:pt>
                <c:pt idx="1">
                  <c:v>5</c:v>
                </c:pt>
                <c:pt idx="2">
                  <c:v>4</c:v>
                </c:pt>
              </c:numCache>
            </c:numRef>
          </c:val>
          <c:extLst>
            <c:ext xmlns:c16="http://schemas.microsoft.com/office/drawing/2014/chart" uri="{C3380CC4-5D6E-409C-BE32-E72D297353CC}">
              <c16:uniqueId val="{00000004-4B01-4D6A-8936-5AD0BC336157}"/>
            </c:ext>
          </c:extLst>
        </c:ser>
        <c:dLbls>
          <c:showLegendKey val="0"/>
          <c:showVal val="0"/>
          <c:showCatName val="0"/>
          <c:showSerName val="0"/>
          <c:showPercent val="0"/>
          <c:showBubbleSize val="0"/>
        </c:dLbls>
        <c:gapWidth val="219"/>
        <c:overlap val="-27"/>
        <c:axId val="652985104"/>
        <c:axId val="652987728"/>
      </c:barChart>
      <c:catAx>
        <c:axId val="65298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52987728"/>
        <c:crosses val="autoZero"/>
        <c:auto val="1"/>
        <c:lblAlgn val="ctr"/>
        <c:lblOffset val="100"/>
        <c:noMultiLvlLbl val="0"/>
      </c:catAx>
      <c:valAx>
        <c:axId val="65298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98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0" ma:contentTypeDescription="Create a new document." ma:contentTypeScope="" ma:versionID="aa5a6ecf5036976e731e061e35c4f8f1">
  <xsd:schema xmlns:xsd="http://www.w3.org/2001/XMLSchema" xmlns:xs="http://www.w3.org/2001/XMLSchema" xmlns:p="http://schemas.microsoft.com/office/2006/metadata/properties" xmlns:ns3="4aea5d07-0eb0-44bf-96eb-22637babf967" targetNamespace="http://schemas.microsoft.com/office/2006/metadata/properties" ma:root="true" ma:fieldsID="84b845fc77cf0725b519ca649661d250"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A53E058-AFE3-459A-ACF9-3660E2B73E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80DBE6-1719-4A15-9649-C16FFAC42C3E}">
  <ds:schemaRefs>
    <ds:schemaRef ds:uri="http://schemas.microsoft.com/sharepoint/v3/contenttype/forms"/>
  </ds:schemaRefs>
</ds:datastoreItem>
</file>

<file path=customXml/itemProps4.xml><?xml version="1.0" encoding="utf-8"?>
<ds:datastoreItem xmlns:ds="http://schemas.openxmlformats.org/officeDocument/2006/customXml" ds:itemID="{7FC9F813-E9EE-43B3-9A1F-7921711D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680FF4-7EEF-4278-9A75-56C89CF9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17</TotalTime>
  <Pages>23</Pages>
  <Words>6625</Words>
  <Characters>37766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Summary of Submissions: Consultation on the Draft Ethical Framework for Resource Allocation in Times of Scarcity</vt:lpstr>
    </vt:vector>
  </TitlesOfParts>
  <Company>Microsoft</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Submissions: Consultation on the Draft Ethical Framework for Resource Allocation in Times of Scarcity</dc:title>
  <dc:creator>Ministry of Health</dc:creator>
  <cp:lastModifiedBy>Hayley Robertson</cp:lastModifiedBy>
  <cp:revision>3</cp:revision>
  <cp:lastPrinted>2020-09-16T03:00:00Z</cp:lastPrinted>
  <dcterms:created xsi:type="dcterms:W3CDTF">2020-09-29T22:06:00Z</dcterms:created>
  <dcterms:modified xsi:type="dcterms:W3CDTF">2020-10-04T22:45:00Z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0x010100FA4F869651CBED4AB058FE7F9F3ED0A7</vt:lpwstr>
  </property>
</Properties>
</file>